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7BB" w:rsidRPr="004727BB" w:rsidRDefault="004727BB" w:rsidP="0037532D">
      <w:pPr>
        <w:spacing w:line="360" w:lineRule="auto"/>
        <w:jc w:val="center"/>
        <w:rPr>
          <w:rStyle w:val="BookTitle"/>
          <w:sz w:val="48"/>
          <w:szCs w:val="48"/>
        </w:rPr>
      </w:pPr>
      <w:r w:rsidRPr="004727BB">
        <w:rPr>
          <w:rStyle w:val="BookTitle"/>
          <w:sz w:val="48"/>
          <w:szCs w:val="48"/>
        </w:rPr>
        <w:t>Changing the Culture of Civil Litigation</w:t>
      </w:r>
    </w:p>
    <w:p w:rsidR="004727BB" w:rsidRDefault="009132A4" w:rsidP="00D27522">
      <w:pPr>
        <w:jc w:val="center"/>
        <w:rPr>
          <w:rStyle w:val="BookTitle"/>
          <w:sz w:val="44"/>
          <w:szCs w:val="44"/>
        </w:rPr>
      </w:pPr>
      <w:r w:rsidRPr="004727BB">
        <w:rPr>
          <w:rStyle w:val="BookTitle"/>
          <w:sz w:val="44"/>
          <w:szCs w:val="44"/>
        </w:rPr>
        <w:t>A Practitioner</w:t>
      </w:r>
      <w:r w:rsidR="00AB317D" w:rsidRPr="004727BB">
        <w:rPr>
          <w:rStyle w:val="BookTitle"/>
          <w:sz w:val="44"/>
          <w:szCs w:val="44"/>
        </w:rPr>
        <w:t>’</w:t>
      </w:r>
      <w:r w:rsidRPr="004727BB">
        <w:rPr>
          <w:rStyle w:val="BookTitle"/>
          <w:sz w:val="44"/>
          <w:szCs w:val="44"/>
        </w:rPr>
        <w:t xml:space="preserve">s Duties under the </w:t>
      </w:r>
    </w:p>
    <w:p w:rsidR="004727BB" w:rsidRDefault="009132A4" w:rsidP="004727BB">
      <w:pPr>
        <w:spacing w:line="360" w:lineRule="auto"/>
        <w:jc w:val="center"/>
        <w:rPr>
          <w:rStyle w:val="BookTitle"/>
          <w:sz w:val="44"/>
          <w:szCs w:val="44"/>
        </w:rPr>
      </w:pPr>
      <w:r w:rsidRPr="004727BB">
        <w:rPr>
          <w:rStyle w:val="BookTitle"/>
          <w:sz w:val="44"/>
          <w:szCs w:val="44"/>
        </w:rPr>
        <w:t>Civil Procedure Act</w:t>
      </w:r>
      <w:r w:rsidR="004727BB" w:rsidRPr="00CA790E">
        <w:rPr>
          <w:rStyle w:val="FootnoteReference"/>
          <w:rFonts w:ascii="Arial" w:hAnsi="Arial" w:cs="Arial"/>
          <w:bCs/>
          <w:iCs/>
          <w:sz w:val="32"/>
          <w:szCs w:val="32"/>
        </w:rPr>
        <w:footnoteReference w:customMarkFollows="1" w:id="1"/>
        <w:sym w:font="Symbol" w:char="F02A"/>
      </w:r>
    </w:p>
    <w:p w:rsidR="004727BB" w:rsidRDefault="004727BB" w:rsidP="004727BB">
      <w:pPr>
        <w:spacing w:line="360" w:lineRule="auto"/>
        <w:jc w:val="center"/>
        <w:rPr>
          <w:rStyle w:val="BookTitle"/>
          <w:sz w:val="44"/>
          <w:szCs w:val="44"/>
        </w:rPr>
      </w:pPr>
    </w:p>
    <w:p w:rsidR="004727BB" w:rsidRDefault="004727BB" w:rsidP="004727BB">
      <w:pPr>
        <w:spacing w:line="360" w:lineRule="auto"/>
        <w:jc w:val="center"/>
        <w:rPr>
          <w:rStyle w:val="BookTitle"/>
          <w:sz w:val="44"/>
          <w:szCs w:val="44"/>
        </w:rPr>
      </w:pPr>
      <w:bookmarkStart w:id="0" w:name="_GoBack"/>
      <w:bookmarkEnd w:id="0"/>
    </w:p>
    <w:p w:rsidR="004727BB" w:rsidRPr="00484B70" w:rsidRDefault="004727BB" w:rsidP="004727BB">
      <w:pPr>
        <w:jc w:val="center"/>
        <w:rPr>
          <w:b/>
          <w:sz w:val="36"/>
          <w:szCs w:val="36"/>
        </w:rPr>
      </w:pPr>
      <w:r w:rsidRPr="00484B70">
        <w:rPr>
          <w:b/>
          <w:sz w:val="36"/>
          <w:szCs w:val="36"/>
        </w:rPr>
        <w:t>The Hon. Justice Clyde Croft</w:t>
      </w:r>
      <w:r w:rsidRPr="00FD7294">
        <w:rPr>
          <w:rStyle w:val="FootnoteReference"/>
          <w:rFonts w:ascii="Arial" w:hAnsi="Arial" w:cs="Arial"/>
          <w:bCs/>
          <w:iCs/>
          <w:sz w:val="32"/>
          <w:szCs w:val="32"/>
        </w:rPr>
        <w:footnoteReference w:customMarkFollows="1" w:id="2"/>
        <w:sym w:font="Symbol" w:char="F02A"/>
      </w:r>
    </w:p>
    <w:p w:rsidR="004727BB" w:rsidRPr="00484B70" w:rsidRDefault="004727BB" w:rsidP="004727BB">
      <w:pPr>
        <w:jc w:val="center"/>
        <w:rPr>
          <w:b/>
          <w:sz w:val="36"/>
          <w:szCs w:val="36"/>
        </w:rPr>
      </w:pPr>
      <w:r w:rsidRPr="00484B70">
        <w:rPr>
          <w:b/>
          <w:sz w:val="36"/>
          <w:szCs w:val="36"/>
        </w:rPr>
        <w:t xml:space="preserve">Supreme Court of </w:t>
      </w:r>
      <w:smartTag w:uri="urn:schemas-microsoft-com:office:smarttags" w:element="State">
        <w:smartTag w:uri="urn:schemas-microsoft-com:office:smarttags" w:element="place">
          <w:r w:rsidRPr="00484B70">
            <w:rPr>
              <w:b/>
              <w:sz w:val="36"/>
              <w:szCs w:val="36"/>
            </w:rPr>
            <w:t>Victoria</w:t>
          </w:r>
        </w:smartTag>
      </w:smartTag>
    </w:p>
    <w:p w:rsidR="004727BB" w:rsidRPr="004727BB" w:rsidRDefault="004727BB" w:rsidP="004727BB">
      <w:pPr>
        <w:spacing w:line="360" w:lineRule="auto"/>
        <w:jc w:val="center"/>
        <w:rPr>
          <w:rStyle w:val="BookTitle"/>
          <w:sz w:val="44"/>
          <w:szCs w:val="44"/>
        </w:rPr>
      </w:pPr>
    </w:p>
    <w:p w:rsidR="004727BB" w:rsidRDefault="004727BB">
      <w:pPr>
        <w:rPr>
          <w:rFonts w:ascii="Book Antiqua" w:hAnsi="Book Antiqua"/>
          <w:b/>
          <w:sz w:val="28"/>
          <w:u w:val="single"/>
          <w:lang w:val="en-AU"/>
        </w:rPr>
      </w:pPr>
      <w:r>
        <w:rPr>
          <w:rFonts w:ascii="Book Antiqua" w:hAnsi="Book Antiqua"/>
          <w:b/>
          <w:sz w:val="28"/>
          <w:u w:val="single"/>
          <w:lang w:val="en-AU"/>
        </w:rPr>
        <w:br w:type="page"/>
      </w:r>
    </w:p>
    <w:p w:rsidR="009132A4" w:rsidRDefault="009132A4" w:rsidP="001C1BB0">
      <w:pPr>
        <w:spacing w:line="360" w:lineRule="auto"/>
        <w:rPr>
          <w:rFonts w:ascii="Book Antiqua" w:hAnsi="Book Antiqua"/>
          <w:b/>
          <w:sz w:val="28"/>
          <w:u w:val="single"/>
          <w:lang w:val="en-AU"/>
        </w:rPr>
      </w:pPr>
    </w:p>
    <w:p w:rsidR="001C1BB0" w:rsidRPr="00D11DBD" w:rsidRDefault="001C1BB0" w:rsidP="001C1BB0">
      <w:pPr>
        <w:spacing w:line="360" w:lineRule="auto"/>
        <w:rPr>
          <w:rFonts w:ascii="Book Antiqua" w:hAnsi="Book Antiqua"/>
          <w:b/>
          <w:u w:val="single"/>
          <w:lang w:val="en-AU"/>
        </w:rPr>
      </w:pPr>
      <w:r w:rsidRPr="00D11DBD">
        <w:rPr>
          <w:rFonts w:ascii="Book Antiqua" w:hAnsi="Book Antiqua"/>
          <w:b/>
          <w:u w:val="single"/>
          <w:lang w:val="en-AU"/>
        </w:rPr>
        <w:t>Introduction</w:t>
      </w:r>
    </w:p>
    <w:p w:rsidR="001C1BB0" w:rsidRPr="00D27522" w:rsidRDefault="001C1BB0" w:rsidP="001C1BB0">
      <w:pPr>
        <w:spacing w:line="360" w:lineRule="auto"/>
        <w:jc w:val="both"/>
        <w:rPr>
          <w:rFonts w:ascii="Book Antiqua" w:hAnsi="Book Antiqua"/>
          <w:sz w:val="22"/>
          <w:szCs w:val="22"/>
          <w:lang w:val="en-AU"/>
        </w:rPr>
      </w:pPr>
    </w:p>
    <w:p w:rsidR="00387D3C" w:rsidRPr="00D27522" w:rsidRDefault="00EC31F8" w:rsidP="001C1BB0">
      <w:pPr>
        <w:spacing w:line="360" w:lineRule="auto"/>
        <w:jc w:val="both"/>
        <w:rPr>
          <w:rFonts w:ascii="Book Antiqua" w:hAnsi="Book Antiqua"/>
          <w:sz w:val="22"/>
          <w:szCs w:val="22"/>
          <w:lang w:val="en-AU"/>
        </w:rPr>
      </w:pPr>
      <w:r w:rsidRPr="00D27522">
        <w:rPr>
          <w:rFonts w:ascii="Book Antiqua" w:hAnsi="Book Antiqua"/>
          <w:sz w:val="22"/>
          <w:szCs w:val="22"/>
        </w:rPr>
        <w:t xml:space="preserve">The Victorian </w:t>
      </w:r>
      <w:r w:rsidRPr="00D27522">
        <w:rPr>
          <w:rFonts w:ascii="Book Antiqua" w:hAnsi="Book Antiqua"/>
          <w:i/>
          <w:sz w:val="22"/>
          <w:szCs w:val="22"/>
        </w:rPr>
        <w:t xml:space="preserve">Civil Procedure Act </w:t>
      </w:r>
      <w:r w:rsidRPr="00D27522">
        <w:rPr>
          <w:rFonts w:ascii="Book Antiqua" w:hAnsi="Book Antiqua"/>
          <w:sz w:val="22"/>
          <w:szCs w:val="22"/>
        </w:rPr>
        <w:t xml:space="preserve">2010 (“the </w:t>
      </w:r>
      <w:r w:rsidR="009132A4" w:rsidRPr="00D27522">
        <w:rPr>
          <w:rFonts w:ascii="Book Antiqua" w:hAnsi="Book Antiqua"/>
          <w:sz w:val="22"/>
          <w:szCs w:val="22"/>
        </w:rPr>
        <w:t>Act”)</w:t>
      </w:r>
      <w:r w:rsidRPr="00D27522">
        <w:rPr>
          <w:rFonts w:ascii="Book Antiqua" w:hAnsi="Book Antiqua"/>
          <w:sz w:val="22"/>
          <w:szCs w:val="22"/>
        </w:rPr>
        <w:t xml:space="preserve"> commenced operation on 1 January 2011, </w:t>
      </w:r>
      <w:r w:rsidR="009132A4" w:rsidRPr="00D27522">
        <w:rPr>
          <w:rFonts w:ascii="Book Antiqua" w:hAnsi="Book Antiqua"/>
          <w:sz w:val="22"/>
          <w:szCs w:val="22"/>
        </w:rPr>
        <w:t>and has become</w:t>
      </w:r>
      <w:r w:rsidRPr="00D27522">
        <w:rPr>
          <w:rFonts w:ascii="Book Antiqua" w:hAnsi="Book Antiqua"/>
          <w:sz w:val="22"/>
          <w:szCs w:val="22"/>
        </w:rPr>
        <w:t xml:space="preserve"> an important </w:t>
      </w:r>
      <w:r w:rsidR="00B3325D" w:rsidRPr="00D27522">
        <w:rPr>
          <w:rFonts w:ascii="Book Antiqua" w:hAnsi="Book Antiqua"/>
          <w:sz w:val="22"/>
          <w:szCs w:val="22"/>
        </w:rPr>
        <w:t xml:space="preserve">event </w:t>
      </w:r>
      <w:r w:rsidRPr="00D27522">
        <w:rPr>
          <w:rFonts w:ascii="Book Antiqua" w:hAnsi="Book Antiqua"/>
          <w:sz w:val="22"/>
          <w:szCs w:val="22"/>
        </w:rPr>
        <w:t>in the evolution in civil procedure that has been underway for some time, in Victoria,</w:t>
      </w:r>
      <w:r w:rsidR="00B17F8A" w:rsidRPr="00D27522">
        <w:rPr>
          <w:rFonts w:ascii="Book Antiqua" w:hAnsi="Book Antiqua"/>
          <w:sz w:val="22"/>
          <w:szCs w:val="22"/>
        </w:rPr>
        <w:t xml:space="preserve"> Australi</w:t>
      </w:r>
      <w:r w:rsidR="009132A4" w:rsidRPr="00D27522">
        <w:rPr>
          <w:rFonts w:ascii="Book Antiqua" w:hAnsi="Book Antiqua"/>
          <w:sz w:val="22"/>
          <w:szCs w:val="22"/>
        </w:rPr>
        <w:t>a and around the world.</w:t>
      </w:r>
      <w:r w:rsidR="004C43AD" w:rsidRPr="00D27522">
        <w:rPr>
          <w:rFonts w:ascii="Book Antiqua" w:hAnsi="Book Antiqua"/>
          <w:sz w:val="22"/>
          <w:szCs w:val="22"/>
        </w:rPr>
        <w:t xml:space="preserve"> </w:t>
      </w:r>
      <w:r w:rsidRPr="00D27522">
        <w:rPr>
          <w:rFonts w:ascii="Book Antiqua" w:hAnsi="Book Antiqua"/>
          <w:sz w:val="22"/>
          <w:szCs w:val="22"/>
        </w:rPr>
        <w:t xml:space="preserve">Intended as the foundation </w:t>
      </w:r>
      <w:r w:rsidR="009132A4" w:rsidRPr="00D27522">
        <w:rPr>
          <w:rFonts w:ascii="Book Antiqua" w:hAnsi="Book Antiqua"/>
          <w:sz w:val="22"/>
          <w:szCs w:val="22"/>
        </w:rPr>
        <w:t>of</w:t>
      </w:r>
      <w:r w:rsidRPr="00D27522">
        <w:rPr>
          <w:rFonts w:ascii="Book Antiqua" w:hAnsi="Book Antiqua"/>
          <w:sz w:val="22"/>
          <w:szCs w:val="22"/>
        </w:rPr>
        <w:t xml:space="preserve"> a comprehensive overhaul of the civil ju</w:t>
      </w:r>
      <w:r w:rsidR="009132A4" w:rsidRPr="00D27522">
        <w:rPr>
          <w:rFonts w:ascii="Book Antiqua" w:hAnsi="Book Antiqua"/>
          <w:sz w:val="22"/>
          <w:szCs w:val="22"/>
        </w:rPr>
        <w:t xml:space="preserve">stice system in Victoria, the </w:t>
      </w:r>
      <w:r w:rsidRPr="00D27522">
        <w:rPr>
          <w:rFonts w:ascii="Book Antiqua" w:hAnsi="Book Antiqua"/>
          <w:sz w:val="22"/>
          <w:szCs w:val="22"/>
        </w:rPr>
        <w:t>A</w:t>
      </w:r>
      <w:r w:rsidR="009132A4" w:rsidRPr="00D27522">
        <w:rPr>
          <w:rFonts w:ascii="Book Antiqua" w:hAnsi="Book Antiqua"/>
          <w:sz w:val="22"/>
          <w:szCs w:val="22"/>
        </w:rPr>
        <w:t>ct</w:t>
      </w:r>
      <w:r w:rsidRPr="00D27522">
        <w:rPr>
          <w:rFonts w:ascii="Book Antiqua" w:hAnsi="Book Antiqua"/>
          <w:sz w:val="22"/>
          <w:szCs w:val="22"/>
        </w:rPr>
        <w:t xml:space="preserve"> was introduced to achieve </w:t>
      </w:r>
      <w:r w:rsidR="009132A4" w:rsidRPr="00D27522">
        <w:rPr>
          <w:rFonts w:ascii="Book Antiqua" w:hAnsi="Book Antiqua"/>
          <w:sz w:val="22"/>
          <w:szCs w:val="22"/>
        </w:rPr>
        <w:t>significant reform to the way in which civil litigation is conducted in this State, and has since been described as “putting Victoria at the forefront of civil justice reform throughout the common law world.”</w:t>
      </w:r>
      <w:r w:rsidR="009132A4" w:rsidRPr="00D27522">
        <w:rPr>
          <w:rStyle w:val="FootnoteReference"/>
          <w:rFonts w:ascii="Book Antiqua" w:hAnsi="Book Antiqua"/>
          <w:sz w:val="22"/>
          <w:szCs w:val="22"/>
        </w:rPr>
        <w:footnoteReference w:id="3"/>
      </w:r>
      <w:r w:rsidR="009132A4" w:rsidRPr="00D27522">
        <w:rPr>
          <w:rFonts w:ascii="Book Antiqua" w:hAnsi="Book Antiqua"/>
          <w:sz w:val="22"/>
          <w:szCs w:val="22"/>
        </w:rPr>
        <w:t xml:space="preserve"> </w:t>
      </w:r>
      <w:r w:rsidR="007649DE" w:rsidRPr="00D27522">
        <w:rPr>
          <w:rFonts w:ascii="Book Antiqua" w:hAnsi="Book Antiqua"/>
          <w:sz w:val="22"/>
          <w:szCs w:val="22"/>
        </w:rPr>
        <w:t xml:space="preserve"> </w:t>
      </w:r>
    </w:p>
    <w:p w:rsidR="004C6515" w:rsidRPr="00D27522" w:rsidRDefault="004C6515" w:rsidP="001C1BB0">
      <w:pPr>
        <w:spacing w:line="360" w:lineRule="auto"/>
        <w:jc w:val="both"/>
        <w:rPr>
          <w:rFonts w:ascii="Book Antiqua" w:hAnsi="Book Antiqua"/>
          <w:sz w:val="22"/>
          <w:szCs w:val="22"/>
          <w:lang w:val="en-AU"/>
        </w:rPr>
      </w:pPr>
    </w:p>
    <w:p w:rsidR="009132A4" w:rsidRPr="00D27522" w:rsidRDefault="004C43AD"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 xml:space="preserve">At the heart of the </w:t>
      </w:r>
      <w:r w:rsidR="009132A4" w:rsidRPr="00D27522">
        <w:rPr>
          <w:rFonts w:ascii="Book Antiqua" w:hAnsi="Book Antiqua"/>
          <w:sz w:val="22"/>
          <w:szCs w:val="22"/>
          <w:lang w:val="en-AU"/>
        </w:rPr>
        <w:t>Act</w:t>
      </w:r>
      <w:r w:rsidRPr="00D27522">
        <w:rPr>
          <w:rFonts w:ascii="Book Antiqua" w:hAnsi="Book Antiqua"/>
          <w:sz w:val="22"/>
          <w:szCs w:val="22"/>
          <w:lang w:val="en-AU"/>
        </w:rPr>
        <w:t xml:space="preserve"> lies its</w:t>
      </w:r>
      <w:r w:rsidR="009132A4" w:rsidRPr="00D27522">
        <w:rPr>
          <w:rFonts w:ascii="Book Antiqua" w:hAnsi="Book Antiqua"/>
          <w:sz w:val="22"/>
          <w:szCs w:val="22"/>
          <w:lang w:val="en-AU"/>
        </w:rPr>
        <w:t xml:space="preserve"> overarching purpose</w:t>
      </w:r>
      <w:r w:rsidRPr="00D27522">
        <w:rPr>
          <w:rFonts w:ascii="Book Antiqua" w:hAnsi="Book Antiqua"/>
          <w:sz w:val="22"/>
          <w:szCs w:val="22"/>
          <w:lang w:val="en-AU"/>
        </w:rPr>
        <w:t xml:space="preserve"> to “facilitate the just, efficient, timely and cost-effective resolution of the real issues in dispute.”</w:t>
      </w:r>
      <w:r w:rsidRPr="00D27522">
        <w:rPr>
          <w:rStyle w:val="FootnoteReference"/>
          <w:rFonts w:ascii="Book Antiqua" w:hAnsi="Book Antiqua"/>
          <w:sz w:val="22"/>
          <w:szCs w:val="22"/>
          <w:lang w:val="en-AU"/>
        </w:rPr>
        <w:footnoteReference w:id="4"/>
      </w:r>
      <w:r w:rsidRPr="00D27522">
        <w:rPr>
          <w:rFonts w:ascii="Book Antiqua" w:hAnsi="Book Antiqua"/>
          <w:sz w:val="22"/>
          <w:szCs w:val="22"/>
          <w:lang w:val="en-AU"/>
        </w:rPr>
        <w:t xml:space="preserve"> </w:t>
      </w:r>
      <w:r w:rsidR="009132A4" w:rsidRPr="00D27522">
        <w:rPr>
          <w:rFonts w:ascii="Book Antiqua" w:hAnsi="Book Antiqua"/>
          <w:sz w:val="22"/>
          <w:szCs w:val="22"/>
          <w:lang w:val="en-AU"/>
        </w:rPr>
        <w:t>In articulating an ideal that is to be used to</w:t>
      </w:r>
      <w:r w:rsidR="00BB21C5" w:rsidRPr="00D27522">
        <w:rPr>
          <w:rFonts w:ascii="Book Antiqua" w:hAnsi="Book Antiqua"/>
          <w:sz w:val="22"/>
          <w:szCs w:val="22"/>
          <w:lang w:val="en-AU"/>
        </w:rPr>
        <w:t xml:space="preserve"> guide judicial determination on</w:t>
      </w:r>
      <w:r w:rsidR="009132A4" w:rsidRPr="00D27522">
        <w:rPr>
          <w:rFonts w:ascii="Book Antiqua" w:hAnsi="Book Antiqua"/>
          <w:sz w:val="22"/>
          <w:szCs w:val="22"/>
          <w:lang w:val="en-AU"/>
        </w:rPr>
        <w:t xml:space="preserve"> a wide range of aspects of civil litigati</w:t>
      </w:r>
      <w:r w:rsidR="00BB21C5" w:rsidRPr="00D27522">
        <w:rPr>
          <w:rFonts w:ascii="Book Antiqua" w:hAnsi="Book Antiqua"/>
          <w:sz w:val="22"/>
          <w:szCs w:val="22"/>
          <w:lang w:val="en-AU"/>
        </w:rPr>
        <w:t>on – in particular over the conduct of parties to litigation -</w:t>
      </w:r>
      <w:r w:rsidR="009132A4" w:rsidRPr="00D27522">
        <w:rPr>
          <w:rFonts w:ascii="Book Antiqua" w:hAnsi="Book Antiqua"/>
          <w:sz w:val="22"/>
          <w:szCs w:val="22"/>
          <w:lang w:val="en-AU"/>
        </w:rPr>
        <w:t xml:space="preserve"> the Act</w:t>
      </w:r>
      <w:r w:rsidR="004C6515" w:rsidRPr="00D27522">
        <w:rPr>
          <w:rFonts w:ascii="Book Antiqua" w:hAnsi="Book Antiqua"/>
          <w:sz w:val="22"/>
          <w:szCs w:val="22"/>
          <w:lang w:val="en-AU"/>
        </w:rPr>
        <w:t xml:space="preserve"> marks a significant change in the approach to the resolution of civil disputes</w:t>
      </w:r>
      <w:r w:rsidR="009132A4" w:rsidRPr="00D27522">
        <w:rPr>
          <w:rFonts w:ascii="Book Antiqua" w:hAnsi="Book Antiqua"/>
          <w:sz w:val="22"/>
          <w:szCs w:val="22"/>
          <w:lang w:val="en-AU"/>
        </w:rPr>
        <w:t>; first,</w:t>
      </w:r>
      <w:r w:rsidR="004C6515" w:rsidRPr="00D27522">
        <w:rPr>
          <w:rFonts w:ascii="Book Antiqua" w:hAnsi="Book Antiqua"/>
          <w:sz w:val="22"/>
          <w:szCs w:val="22"/>
          <w:lang w:val="en-AU"/>
        </w:rPr>
        <w:t xml:space="preserve"> by setting overall objectives</w:t>
      </w:r>
      <w:r w:rsidR="003A0DA0" w:rsidRPr="00D27522">
        <w:rPr>
          <w:rFonts w:ascii="Book Antiqua" w:hAnsi="Book Antiqua"/>
          <w:sz w:val="22"/>
          <w:szCs w:val="22"/>
          <w:lang w:val="en-AU"/>
        </w:rPr>
        <w:t xml:space="preserve">; </w:t>
      </w:r>
      <w:r w:rsidR="00C52E69" w:rsidRPr="00D27522">
        <w:rPr>
          <w:rFonts w:ascii="Book Antiqua" w:hAnsi="Book Antiqua"/>
          <w:sz w:val="22"/>
          <w:szCs w:val="22"/>
          <w:lang w:val="en-AU"/>
        </w:rPr>
        <w:t xml:space="preserve">and </w:t>
      </w:r>
      <w:r w:rsidR="009132A4" w:rsidRPr="00D27522">
        <w:rPr>
          <w:rFonts w:ascii="Book Antiqua" w:hAnsi="Book Antiqua"/>
          <w:sz w:val="22"/>
          <w:szCs w:val="22"/>
          <w:lang w:val="en-AU"/>
        </w:rPr>
        <w:t xml:space="preserve">secondly, </w:t>
      </w:r>
      <w:r w:rsidR="00C52E69" w:rsidRPr="00D27522">
        <w:rPr>
          <w:rFonts w:ascii="Book Antiqua" w:hAnsi="Book Antiqua"/>
          <w:sz w:val="22"/>
          <w:szCs w:val="22"/>
          <w:lang w:val="en-AU"/>
        </w:rPr>
        <w:t>b</w:t>
      </w:r>
      <w:r w:rsidRPr="00D27522">
        <w:rPr>
          <w:rFonts w:ascii="Book Antiqua" w:hAnsi="Book Antiqua"/>
          <w:sz w:val="22"/>
          <w:szCs w:val="22"/>
          <w:lang w:val="en-AU"/>
        </w:rPr>
        <w:t>y giving</w:t>
      </w:r>
      <w:r w:rsidR="00BB21C5" w:rsidRPr="00D27522">
        <w:rPr>
          <w:rFonts w:ascii="Book Antiqua" w:hAnsi="Book Antiqua"/>
          <w:sz w:val="22"/>
          <w:szCs w:val="22"/>
          <w:lang w:val="en-AU"/>
        </w:rPr>
        <w:t xml:space="preserve"> the court</w:t>
      </w:r>
      <w:r w:rsidR="007649DE" w:rsidRPr="00D27522">
        <w:rPr>
          <w:rFonts w:ascii="Book Antiqua" w:hAnsi="Book Antiqua"/>
          <w:sz w:val="22"/>
          <w:szCs w:val="22"/>
          <w:lang w:val="en-AU"/>
        </w:rPr>
        <w:t xml:space="preserve"> specific powers to enforce these objectives. </w:t>
      </w:r>
    </w:p>
    <w:p w:rsidR="009132A4" w:rsidRPr="00D27522" w:rsidRDefault="009132A4" w:rsidP="001C1BB0">
      <w:pPr>
        <w:spacing w:line="360" w:lineRule="auto"/>
        <w:jc w:val="both"/>
        <w:rPr>
          <w:rFonts w:ascii="Book Antiqua" w:hAnsi="Book Antiqua"/>
          <w:sz w:val="22"/>
          <w:szCs w:val="22"/>
          <w:lang w:val="en-AU"/>
        </w:rPr>
      </w:pPr>
    </w:p>
    <w:p w:rsidR="00371D55" w:rsidRPr="00D27522" w:rsidRDefault="007649DE"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 xml:space="preserve">While the courts have always held the inherent power to “supervise the conduct of those appearing </w:t>
      </w:r>
      <w:r w:rsidR="0092641B" w:rsidRPr="00D27522">
        <w:rPr>
          <w:rFonts w:ascii="Book Antiqua" w:hAnsi="Book Antiqua"/>
          <w:sz w:val="22"/>
          <w:szCs w:val="22"/>
          <w:lang w:val="en-AU"/>
        </w:rPr>
        <w:t>…</w:t>
      </w:r>
      <w:r w:rsidRPr="00D27522">
        <w:rPr>
          <w:rFonts w:ascii="Book Antiqua" w:hAnsi="Book Antiqua"/>
          <w:sz w:val="22"/>
          <w:szCs w:val="22"/>
          <w:lang w:val="en-AU"/>
        </w:rPr>
        <w:t>, and to visit with penalties any conduct of a lawyer which is of such a nature of as to defeat justice in the very cause in which he is engaged professionally”</w:t>
      </w:r>
      <w:r w:rsidR="00BB21C5" w:rsidRPr="00D27522">
        <w:rPr>
          <w:rStyle w:val="FootnoteReference"/>
          <w:rFonts w:ascii="Book Antiqua" w:hAnsi="Book Antiqua"/>
          <w:sz w:val="22"/>
          <w:szCs w:val="22"/>
          <w:lang w:val="en-AU"/>
        </w:rPr>
        <w:footnoteReference w:id="5"/>
      </w:r>
      <w:r w:rsidRPr="00D27522">
        <w:rPr>
          <w:rFonts w:ascii="Book Antiqua" w:hAnsi="Book Antiqua"/>
          <w:sz w:val="22"/>
          <w:szCs w:val="22"/>
          <w:lang w:val="en-AU"/>
        </w:rPr>
        <w:t xml:space="preserve">, the </w:t>
      </w:r>
      <w:r w:rsidR="009132A4" w:rsidRPr="00D27522">
        <w:rPr>
          <w:rFonts w:ascii="Book Antiqua" w:hAnsi="Book Antiqua"/>
          <w:sz w:val="22"/>
          <w:szCs w:val="22"/>
          <w:lang w:val="en-AU"/>
        </w:rPr>
        <w:t>Act</w:t>
      </w:r>
      <w:r w:rsidRPr="00D27522">
        <w:rPr>
          <w:rFonts w:ascii="Book Antiqua" w:hAnsi="Book Antiqua"/>
          <w:sz w:val="22"/>
          <w:szCs w:val="22"/>
          <w:lang w:val="en-AU"/>
        </w:rPr>
        <w:t xml:space="preserve"> now gives to judges clear legislative assistance to manage cases </w:t>
      </w:r>
      <w:r w:rsidR="00B3325D" w:rsidRPr="00D27522">
        <w:rPr>
          <w:rFonts w:ascii="Book Antiqua" w:hAnsi="Book Antiqua"/>
          <w:sz w:val="22"/>
          <w:szCs w:val="22"/>
          <w:lang w:val="en-AU"/>
        </w:rPr>
        <w:t xml:space="preserve">proactively </w:t>
      </w:r>
      <w:r w:rsidRPr="00D27522">
        <w:rPr>
          <w:rFonts w:ascii="Book Antiqua" w:hAnsi="Book Antiqua"/>
          <w:sz w:val="22"/>
          <w:szCs w:val="22"/>
          <w:lang w:val="en-AU"/>
        </w:rPr>
        <w:t xml:space="preserve">in a manner that will </w:t>
      </w:r>
      <w:r w:rsidR="009132A4" w:rsidRPr="00D27522">
        <w:rPr>
          <w:rFonts w:ascii="Book Antiqua" w:hAnsi="Book Antiqua"/>
          <w:sz w:val="22"/>
          <w:szCs w:val="22"/>
          <w:lang w:val="en-AU"/>
        </w:rPr>
        <w:t xml:space="preserve">promote the overarching purpose, as well as broad powers to </w:t>
      </w:r>
      <w:r w:rsidR="00B3325D" w:rsidRPr="00D27522">
        <w:rPr>
          <w:rFonts w:ascii="Book Antiqua" w:hAnsi="Book Antiqua"/>
          <w:sz w:val="22"/>
          <w:szCs w:val="22"/>
          <w:lang w:val="en-AU"/>
        </w:rPr>
        <w:t xml:space="preserve">impose </w:t>
      </w:r>
      <w:r w:rsidR="009132A4" w:rsidRPr="00D27522">
        <w:rPr>
          <w:rFonts w:ascii="Book Antiqua" w:hAnsi="Book Antiqua"/>
          <w:sz w:val="22"/>
          <w:szCs w:val="22"/>
          <w:lang w:val="en-AU"/>
        </w:rPr>
        <w:t xml:space="preserve">sanctions </w:t>
      </w:r>
      <w:r w:rsidR="00B3325D" w:rsidRPr="00D27522">
        <w:rPr>
          <w:rFonts w:ascii="Book Antiqua" w:hAnsi="Book Antiqua"/>
          <w:sz w:val="22"/>
          <w:szCs w:val="22"/>
          <w:lang w:val="en-AU"/>
        </w:rPr>
        <w:t xml:space="preserve">on </w:t>
      </w:r>
      <w:r w:rsidR="009132A4" w:rsidRPr="00D27522">
        <w:rPr>
          <w:rFonts w:ascii="Book Antiqua" w:hAnsi="Book Antiqua"/>
          <w:sz w:val="22"/>
          <w:szCs w:val="22"/>
          <w:lang w:val="en-AU"/>
        </w:rPr>
        <w:t>any party to litigation who fails to fulfil their obligations under the Act. In doing so, “the Act does not merely reaffirm the existing powers of the court but provides a powerful indication of the will of the Parliament about the values sought to be achieved by the way in which cases are managed in the courts and the balances that have to be struck.”</w:t>
      </w:r>
      <w:r w:rsidR="009132A4" w:rsidRPr="00D27522">
        <w:rPr>
          <w:rStyle w:val="FootnoteReference"/>
          <w:rFonts w:ascii="Book Antiqua" w:hAnsi="Book Antiqua"/>
          <w:sz w:val="22"/>
          <w:szCs w:val="22"/>
          <w:lang w:val="en-AU"/>
        </w:rPr>
        <w:footnoteReference w:id="6"/>
      </w:r>
      <w:r w:rsidR="00C52E69" w:rsidRPr="00D27522">
        <w:rPr>
          <w:rFonts w:ascii="Book Antiqua" w:hAnsi="Book Antiqua"/>
          <w:sz w:val="22"/>
          <w:szCs w:val="22"/>
          <w:lang w:val="en-AU"/>
        </w:rPr>
        <w:t xml:space="preserve"> </w:t>
      </w:r>
    </w:p>
    <w:p w:rsidR="00C52E69" w:rsidRPr="00D27522" w:rsidRDefault="00C52E69" w:rsidP="001C1BB0">
      <w:pPr>
        <w:spacing w:line="360" w:lineRule="auto"/>
        <w:jc w:val="both"/>
        <w:rPr>
          <w:rFonts w:ascii="Book Antiqua" w:hAnsi="Book Antiqua"/>
          <w:sz w:val="22"/>
          <w:szCs w:val="22"/>
          <w:lang w:val="en-AU"/>
        </w:rPr>
      </w:pPr>
    </w:p>
    <w:p w:rsidR="00C52E69" w:rsidRPr="00D27522" w:rsidRDefault="00C52E69"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 xml:space="preserve">In providing </w:t>
      </w:r>
      <w:r w:rsidR="009132A4" w:rsidRPr="00D27522">
        <w:rPr>
          <w:rFonts w:ascii="Book Antiqua" w:hAnsi="Book Antiqua"/>
          <w:sz w:val="22"/>
          <w:szCs w:val="22"/>
          <w:lang w:val="en-AU"/>
        </w:rPr>
        <w:t>these case</w:t>
      </w:r>
      <w:r w:rsidR="00B3325D" w:rsidRPr="00D27522">
        <w:rPr>
          <w:rFonts w:ascii="Book Antiqua" w:hAnsi="Book Antiqua"/>
          <w:sz w:val="22"/>
          <w:szCs w:val="22"/>
          <w:lang w:val="en-AU"/>
        </w:rPr>
        <w:t xml:space="preserve"> </w:t>
      </w:r>
      <w:r w:rsidR="009132A4" w:rsidRPr="00D27522">
        <w:rPr>
          <w:rFonts w:ascii="Book Antiqua" w:hAnsi="Book Antiqua"/>
          <w:sz w:val="22"/>
          <w:szCs w:val="22"/>
          <w:lang w:val="en-AU"/>
        </w:rPr>
        <w:t>management guidelines – as well as the sanctions to enforce them -</w:t>
      </w:r>
      <w:r w:rsidRPr="00D27522">
        <w:rPr>
          <w:rFonts w:ascii="Book Antiqua" w:hAnsi="Book Antiqua"/>
          <w:sz w:val="22"/>
          <w:szCs w:val="22"/>
          <w:lang w:val="en-AU"/>
        </w:rPr>
        <w:t xml:space="preserve"> the </w:t>
      </w:r>
      <w:r w:rsidR="009132A4" w:rsidRPr="00D27522">
        <w:rPr>
          <w:rFonts w:ascii="Book Antiqua" w:hAnsi="Book Antiqua"/>
          <w:sz w:val="22"/>
          <w:szCs w:val="22"/>
          <w:lang w:val="en-AU"/>
        </w:rPr>
        <w:t>Act</w:t>
      </w:r>
      <w:r w:rsidR="00975F48" w:rsidRPr="00D27522">
        <w:rPr>
          <w:rFonts w:ascii="Book Antiqua" w:hAnsi="Book Antiqua"/>
          <w:sz w:val="22"/>
          <w:szCs w:val="22"/>
          <w:lang w:val="en-AU"/>
        </w:rPr>
        <w:t xml:space="preserve"> set</w:t>
      </w:r>
      <w:r w:rsidR="009132A4" w:rsidRPr="00D27522">
        <w:rPr>
          <w:rFonts w:ascii="Book Antiqua" w:hAnsi="Book Antiqua"/>
          <w:sz w:val="22"/>
          <w:szCs w:val="22"/>
          <w:lang w:val="en-AU"/>
        </w:rPr>
        <w:t>s</w:t>
      </w:r>
      <w:r w:rsidRPr="00D27522">
        <w:rPr>
          <w:rFonts w:ascii="Book Antiqua" w:hAnsi="Book Antiqua"/>
          <w:sz w:val="22"/>
          <w:szCs w:val="22"/>
          <w:lang w:val="en-AU"/>
        </w:rPr>
        <w:t xml:space="preserve"> out a clear</w:t>
      </w:r>
      <w:r w:rsidR="00975F48" w:rsidRPr="00D27522">
        <w:rPr>
          <w:rFonts w:ascii="Book Antiqua" w:hAnsi="Book Antiqua"/>
          <w:sz w:val="22"/>
          <w:szCs w:val="22"/>
          <w:lang w:val="en-AU"/>
        </w:rPr>
        <w:t xml:space="preserve"> restatement and clarification of the existing standard of conduct </w:t>
      </w:r>
      <w:r w:rsidR="00975F48" w:rsidRPr="00D27522">
        <w:rPr>
          <w:rFonts w:ascii="Book Antiqua" w:hAnsi="Book Antiqua"/>
          <w:sz w:val="22"/>
          <w:szCs w:val="22"/>
          <w:lang w:val="en-AU"/>
        </w:rPr>
        <w:lastRenderedPageBreak/>
        <w:t xml:space="preserve">within the civil justice </w:t>
      </w:r>
      <w:r w:rsidR="00E81292" w:rsidRPr="00D27522">
        <w:rPr>
          <w:rFonts w:ascii="Book Antiqua" w:hAnsi="Book Antiqua"/>
          <w:sz w:val="22"/>
          <w:szCs w:val="22"/>
          <w:lang w:val="en-AU"/>
        </w:rPr>
        <w:t xml:space="preserve">system for </w:t>
      </w:r>
      <w:r w:rsidR="009132A4" w:rsidRPr="00D27522">
        <w:rPr>
          <w:rFonts w:ascii="Book Antiqua" w:hAnsi="Book Antiqua"/>
          <w:sz w:val="22"/>
          <w:szCs w:val="22"/>
          <w:lang w:val="en-AU"/>
        </w:rPr>
        <w:t>both parties and practitioners</w:t>
      </w:r>
      <w:r w:rsidR="00975F48" w:rsidRPr="00D27522">
        <w:rPr>
          <w:rFonts w:ascii="Book Antiqua" w:hAnsi="Book Antiqua"/>
          <w:sz w:val="22"/>
          <w:szCs w:val="22"/>
          <w:lang w:val="en-AU"/>
        </w:rPr>
        <w:t>.</w:t>
      </w:r>
      <w:r w:rsidR="00975F48" w:rsidRPr="00D27522">
        <w:rPr>
          <w:rStyle w:val="FootnoteReference"/>
          <w:rFonts w:ascii="Book Antiqua" w:hAnsi="Book Antiqua"/>
          <w:sz w:val="22"/>
          <w:szCs w:val="22"/>
          <w:lang w:val="en-AU"/>
        </w:rPr>
        <w:footnoteReference w:id="7"/>
      </w:r>
      <w:r w:rsidR="00975F48" w:rsidRPr="00D27522">
        <w:rPr>
          <w:rFonts w:ascii="Book Antiqua" w:hAnsi="Book Antiqua"/>
          <w:sz w:val="22"/>
          <w:szCs w:val="22"/>
          <w:lang w:val="en-AU"/>
        </w:rPr>
        <w:t xml:space="preserve"> While the primary objective of the </w:t>
      </w:r>
      <w:r w:rsidR="009132A4" w:rsidRPr="00D27522">
        <w:rPr>
          <w:rFonts w:ascii="Book Antiqua" w:hAnsi="Book Antiqua"/>
          <w:sz w:val="22"/>
          <w:szCs w:val="22"/>
          <w:lang w:val="en-AU"/>
        </w:rPr>
        <w:t>Act</w:t>
      </w:r>
      <w:r w:rsidR="00975F48" w:rsidRPr="00D27522">
        <w:rPr>
          <w:rFonts w:ascii="Book Antiqua" w:hAnsi="Book Antiqua"/>
          <w:sz w:val="22"/>
          <w:szCs w:val="22"/>
          <w:lang w:val="en-AU"/>
        </w:rPr>
        <w:t xml:space="preserve"> is to change the culture of litigation, rather than to punish behaviour, the </w:t>
      </w:r>
      <w:r w:rsidR="009132A4" w:rsidRPr="00D27522">
        <w:rPr>
          <w:rFonts w:ascii="Book Antiqua" w:hAnsi="Book Antiqua"/>
          <w:sz w:val="22"/>
          <w:szCs w:val="22"/>
          <w:lang w:val="en-AU"/>
        </w:rPr>
        <w:t>sections</w:t>
      </w:r>
      <w:r w:rsidR="00975F48" w:rsidRPr="00D27522">
        <w:rPr>
          <w:rFonts w:ascii="Book Antiqua" w:hAnsi="Book Antiqua"/>
          <w:sz w:val="22"/>
          <w:szCs w:val="22"/>
          <w:lang w:val="en-AU"/>
        </w:rPr>
        <w:t xml:space="preserve"> of the </w:t>
      </w:r>
      <w:r w:rsidR="009132A4" w:rsidRPr="00D27522">
        <w:rPr>
          <w:rFonts w:ascii="Book Antiqua" w:hAnsi="Book Antiqua"/>
          <w:sz w:val="22"/>
          <w:szCs w:val="22"/>
          <w:lang w:val="en-AU"/>
        </w:rPr>
        <w:t>Act</w:t>
      </w:r>
      <w:r w:rsidR="00975F48" w:rsidRPr="00D27522">
        <w:rPr>
          <w:rFonts w:ascii="Book Antiqua" w:hAnsi="Book Antiqua"/>
          <w:sz w:val="22"/>
          <w:szCs w:val="22"/>
          <w:lang w:val="en-AU"/>
        </w:rPr>
        <w:t xml:space="preserve"> that govern the power of the court to </w:t>
      </w:r>
      <w:r w:rsidR="00B3325D" w:rsidRPr="00D27522">
        <w:rPr>
          <w:rFonts w:ascii="Book Antiqua" w:hAnsi="Book Antiqua"/>
          <w:sz w:val="22"/>
          <w:szCs w:val="22"/>
          <w:lang w:val="en-AU"/>
        </w:rPr>
        <w:t xml:space="preserve">impose </w:t>
      </w:r>
      <w:r w:rsidR="00975F48" w:rsidRPr="00D27522">
        <w:rPr>
          <w:rFonts w:ascii="Book Antiqua" w:hAnsi="Book Antiqua"/>
          <w:sz w:val="22"/>
          <w:szCs w:val="22"/>
          <w:lang w:val="en-AU"/>
        </w:rPr>
        <w:t xml:space="preserve">sanctions for contraventions of the overarching obligations have been described as including provisions broader than </w:t>
      </w:r>
      <w:r w:rsidR="00E81292" w:rsidRPr="00D27522">
        <w:rPr>
          <w:rFonts w:ascii="Book Antiqua" w:hAnsi="Book Antiqua"/>
          <w:sz w:val="22"/>
          <w:szCs w:val="22"/>
          <w:lang w:val="en-AU"/>
        </w:rPr>
        <w:t>those in any other jurisdiction in Australia.</w:t>
      </w:r>
      <w:r w:rsidR="00E81292" w:rsidRPr="00D27522">
        <w:rPr>
          <w:rStyle w:val="FootnoteReference"/>
          <w:rFonts w:ascii="Book Antiqua" w:hAnsi="Book Antiqua"/>
          <w:sz w:val="22"/>
          <w:szCs w:val="22"/>
          <w:lang w:val="en-AU"/>
        </w:rPr>
        <w:footnoteReference w:id="8"/>
      </w:r>
      <w:r w:rsidR="004C43AD" w:rsidRPr="00D27522">
        <w:rPr>
          <w:rFonts w:ascii="Book Antiqua" w:hAnsi="Book Antiqua"/>
          <w:sz w:val="22"/>
          <w:szCs w:val="22"/>
          <w:lang w:val="en-AU"/>
        </w:rPr>
        <w:t xml:space="preserve"> </w:t>
      </w:r>
      <w:r w:rsidR="009132A4" w:rsidRPr="00D27522">
        <w:rPr>
          <w:rFonts w:ascii="Book Antiqua" w:hAnsi="Book Antiqua"/>
          <w:sz w:val="22"/>
          <w:szCs w:val="22"/>
          <w:lang w:val="en-AU"/>
        </w:rPr>
        <w:t>By providing these powerful statements regarding the values that are to govern civil proceedings,</w:t>
      </w:r>
      <w:r w:rsidR="00B3325D" w:rsidRPr="00D27522">
        <w:rPr>
          <w:rFonts w:ascii="Book Antiqua" w:hAnsi="Book Antiqua"/>
          <w:sz w:val="22"/>
          <w:szCs w:val="22"/>
          <w:lang w:val="en-AU"/>
        </w:rPr>
        <w:t xml:space="preserve"> together with sanctions for breach,</w:t>
      </w:r>
      <w:r w:rsidR="009132A4" w:rsidRPr="00D27522">
        <w:rPr>
          <w:rFonts w:ascii="Book Antiqua" w:hAnsi="Book Antiqua"/>
          <w:sz w:val="22"/>
          <w:szCs w:val="22"/>
          <w:lang w:val="en-AU"/>
        </w:rPr>
        <w:t xml:space="preserve"> the Act</w:t>
      </w:r>
      <w:r w:rsidR="000D2644" w:rsidRPr="00D27522">
        <w:rPr>
          <w:rFonts w:ascii="Book Antiqua" w:hAnsi="Book Antiqua"/>
          <w:sz w:val="22"/>
          <w:szCs w:val="22"/>
          <w:lang w:val="en-AU"/>
        </w:rPr>
        <w:t xml:space="preserve"> has fundamentally altered the manner in which practitioners must conduct themselves within the Victorian system of civil litigation.</w:t>
      </w:r>
    </w:p>
    <w:p w:rsidR="00A66833" w:rsidRPr="00D27522" w:rsidRDefault="00A66833" w:rsidP="001C1BB0">
      <w:pPr>
        <w:spacing w:line="360" w:lineRule="auto"/>
        <w:jc w:val="both"/>
        <w:rPr>
          <w:rFonts w:ascii="Book Antiqua" w:hAnsi="Book Antiqua"/>
          <w:sz w:val="22"/>
          <w:szCs w:val="22"/>
          <w:lang w:val="en-AU"/>
        </w:rPr>
      </w:pPr>
    </w:p>
    <w:p w:rsidR="00DB60F8" w:rsidRPr="00D11DBD" w:rsidRDefault="009132A4" w:rsidP="001C1BB0">
      <w:pPr>
        <w:spacing w:line="360" w:lineRule="auto"/>
        <w:jc w:val="both"/>
        <w:rPr>
          <w:rFonts w:ascii="Book Antiqua" w:hAnsi="Book Antiqua"/>
          <w:b/>
          <w:u w:val="single"/>
          <w:lang w:val="en-AU"/>
        </w:rPr>
      </w:pPr>
      <w:r w:rsidRPr="00D11DBD">
        <w:rPr>
          <w:rFonts w:ascii="Book Antiqua" w:hAnsi="Book Antiqua"/>
          <w:b/>
          <w:u w:val="single"/>
          <w:lang w:val="en-AU"/>
        </w:rPr>
        <w:t>The traditional role of the parties and practitioners</w:t>
      </w:r>
    </w:p>
    <w:p w:rsidR="00E81292" w:rsidRPr="00D27522" w:rsidRDefault="00E81292" w:rsidP="001C1BB0">
      <w:pPr>
        <w:spacing w:line="360" w:lineRule="auto"/>
        <w:jc w:val="both"/>
        <w:rPr>
          <w:rFonts w:ascii="Book Antiqua" w:hAnsi="Book Antiqua"/>
          <w:sz w:val="22"/>
          <w:szCs w:val="22"/>
          <w:lang w:val="en-AU"/>
        </w:rPr>
      </w:pPr>
    </w:p>
    <w:p w:rsidR="0054436E" w:rsidRPr="00D27522" w:rsidRDefault="0054436E" w:rsidP="0054436E">
      <w:pPr>
        <w:spacing w:line="360" w:lineRule="auto"/>
        <w:jc w:val="both"/>
        <w:rPr>
          <w:rFonts w:ascii="Book Antiqua" w:hAnsi="Book Antiqua"/>
          <w:sz w:val="22"/>
          <w:szCs w:val="22"/>
          <w:lang w:val="en-AU"/>
        </w:rPr>
      </w:pPr>
      <w:r w:rsidRPr="00D27522">
        <w:rPr>
          <w:rFonts w:ascii="Book Antiqua" w:hAnsi="Book Antiqua"/>
          <w:sz w:val="22"/>
          <w:szCs w:val="22"/>
          <w:lang w:val="en-AU"/>
        </w:rPr>
        <w:t>Lord Brough</w:t>
      </w:r>
      <w:r w:rsidR="009132A4" w:rsidRPr="00D27522">
        <w:rPr>
          <w:rFonts w:ascii="Book Antiqua" w:hAnsi="Book Antiqua"/>
          <w:sz w:val="22"/>
          <w:szCs w:val="22"/>
          <w:lang w:val="en-AU"/>
        </w:rPr>
        <w:t>am</w:t>
      </w:r>
      <w:r w:rsidRPr="00D27522">
        <w:rPr>
          <w:rFonts w:ascii="Book Antiqua" w:hAnsi="Book Antiqua"/>
          <w:sz w:val="22"/>
          <w:szCs w:val="22"/>
          <w:lang w:val="en-AU"/>
        </w:rPr>
        <w:t xml:space="preserve">, counsel for Queen Caroline in the great litigation of the early nineteenth century, once offered this justification for unrestrained zeal on the part of lawyers when discussing the duties that </w:t>
      </w:r>
      <w:r w:rsidR="002F38A4" w:rsidRPr="00D27522">
        <w:rPr>
          <w:rFonts w:ascii="Book Antiqua" w:hAnsi="Book Antiqua"/>
          <w:sz w:val="22"/>
          <w:szCs w:val="22"/>
          <w:lang w:val="en-AU"/>
        </w:rPr>
        <w:t>one</w:t>
      </w:r>
      <w:r w:rsidRPr="00D27522">
        <w:rPr>
          <w:rFonts w:ascii="Book Antiqua" w:hAnsi="Book Antiqua"/>
          <w:sz w:val="22"/>
          <w:szCs w:val="22"/>
          <w:lang w:val="en-AU"/>
        </w:rPr>
        <w:t xml:space="preserve"> owe</w:t>
      </w:r>
      <w:r w:rsidR="002F38A4" w:rsidRPr="00D27522">
        <w:rPr>
          <w:rFonts w:ascii="Book Antiqua" w:hAnsi="Book Antiqua"/>
          <w:sz w:val="22"/>
          <w:szCs w:val="22"/>
          <w:lang w:val="en-AU"/>
        </w:rPr>
        <w:t>s</w:t>
      </w:r>
      <w:r w:rsidRPr="00D27522">
        <w:rPr>
          <w:rFonts w:ascii="Book Antiqua" w:hAnsi="Book Antiqua"/>
          <w:sz w:val="22"/>
          <w:szCs w:val="22"/>
          <w:lang w:val="en-AU"/>
        </w:rPr>
        <w:t xml:space="preserve"> when conducting </w:t>
      </w:r>
      <w:r w:rsidR="002F38A4" w:rsidRPr="00D27522">
        <w:rPr>
          <w:rFonts w:ascii="Book Antiqua" w:hAnsi="Book Antiqua"/>
          <w:sz w:val="22"/>
          <w:szCs w:val="22"/>
          <w:lang w:val="en-AU"/>
        </w:rPr>
        <w:t xml:space="preserve">themselves in the course of </w:t>
      </w:r>
      <w:r w:rsidRPr="00D27522">
        <w:rPr>
          <w:rFonts w:ascii="Book Antiqua" w:hAnsi="Book Antiqua"/>
          <w:sz w:val="22"/>
          <w:szCs w:val="22"/>
          <w:lang w:val="en-AU"/>
        </w:rPr>
        <w:t>litigation:</w:t>
      </w:r>
      <w:r w:rsidRPr="00785375">
        <w:rPr>
          <w:rStyle w:val="FootnoteReference"/>
          <w:rFonts w:ascii="Book Antiqua" w:hAnsi="Book Antiqua"/>
          <w:sz w:val="22"/>
          <w:szCs w:val="22"/>
          <w:lang w:val="en-AU"/>
        </w:rPr>
        <w:t xml:space="preserve"> </w:t>
      </w:r>
      <w:r w:rsidRPr="00785375">
        <w:rPr>
          <w:rStyle w:val="FootnoteReference"/>
          <w:rFonts w:ascii="Book Antiqua" w:hAnsi="Book Antiqua"/>
          <w:sz w:val="22"/>
          <w:szCs w:val="22"/>
          <w:lang w:val="en-AU"/>
        </w:rPr>
        <w:footnoteReference w:id="9"/>
      </w:r>
      <w:r w:rsidRPr="00D27522">
        <w:rPr>
          <w:rFonts w:ascii="Book Antiqua" w:hAnsi="Book Antiqua"/>
          <w:sz w:val="22"/>
          <w:szCs w:val="22"/>
          <w:lang w:val="en-AU"/>
        </w:rPr>
        <w:t xml:space="preserve"> </w:t>
      </w:r>
    </w:p>
    <w:p w:rsidR="002F38A4" w:rsidRPr="00D27522" w:rsidRDefault="002F38A4" w:rsidP="0054436E">
      <w:pPr>
        <w:ind w:left="567" w:right="284"/>
        <w:jc w:val="both"/>
        <w:rPr>
          <w:rFonts w:ascii="Book Antiqua" w:hAnsi="Book Antiqua"/>
          <w:sz w:val="22"/>
          <w:szCs w:val="22"/>
          <w:lang w:val="en-AU"/>
        </w:rPr>
      </w:pPr>
    </w:p>
    <w:p w:rsidR="0054436E" w:rsidRPr="00D27522" w:rsidRDefault="0054436E" w:rsidP="00E511AF">
      <w:pPr>
        <w:ind w:left="1440" w:right="720"/>
        <w:jc w:val="both"/>
        <w:rPr>
          <w:rFonts w:ascii="Book Antiqua" w:hAnsi="Book Antiqua"/>
          <w:sz w:val="20"/>
          <w:szCs w:val="20"/>
          <w:lang w:val="en-AU"/>
        </w:rPr>
      </w:pPr>
      <w:r w:rsidRPr="00D27522">
        <w:rPr>
          <w:rFonts w:ascii="Book Antiqua" w:hAnsi="Book Antiqua"/>
          <w:sz w:val="20"/>
          <w:szCs w:val="20"/>
          <w:lang w:val="en-AU"/>
        </w:rPr>
        <w:t>“An advocate, in the discharge of his duty, knows but one person in all the wor</w:t>
      </w:r>
      <w:r w:rsidR="00AC5031" w:rsidRPr="00D27522">
        <w:rPr>
          <w:rFonts w:ascii="Book Antiqua" w:hAnsi="Book Antiqua"/>
          <w:sz w:val="20"/>
          <w:szCs w:val="20"/>
          <w:lang w:val="en-AU"/>
        </w:rPr>
        <w:t>ld</w:t>
      </w:r>
      <w:r w:rsidRPr="00D27522">
        <w:rPr>
          <w:rFonts w:ascii="Book Antiqua" w:hAnsi="Book Antiqua"/>
          <w:sz w:val="20"/>
          <w:szCs w:val="20"/>
          <w:lang w:val="en-AU"/>
        </w:rPr>
        <w:t>, and that person is his client. To save that client by all means and expedients, and at all hazards and costs to other persons, and, among them, to himself, is his first and only duty; and in performing this duty he must not regard the alarm, the torments, the destruction which he may bring upon others. Separating the duty of a patriot from that of an advocate, he must go on reckless of consequences, though it should be his unhappy fate to involve his country in confusion.”</w:t>
      </w:r>
    </w:p>
    <w:p w:rsidR="0054436E" w:rsidRPr="00D27522" w:rsidRDefault="0054436E" w:rsidP="0054436E">
      <w:pPr>
        <w:spacing w:line="360" w:lineRule="auto"/>
        <w:jc w:val="both"/>
        <w:rPr>
          <w:rFonts w:ascii="Book Antiqua" w:hAnsi="Book Antiqua"/>
          <w:sz w:val="22"/>
          <w:szCs w:val="22"/>
          <w:lang w:val="en-AU"/>
        </w:rPr>
      </w:pPr>
    </w:p>
    <w:p w:rsidR="009132A4" w:rsidRPr="00D27522" w:rsidRDefault="009132A4"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While this approach may not have maintained t</w:t>
      </w:r>
      <w:r w:rsidR="00BB21C5" w:rsidRPr="00D27522">
        <w:rPr>
          <w:rFonts w:ascii="Book Antiqua" w:hAnsi="Book Antiqua"/>
          <w:sz w:val="22"/>
          <w:szCs w:val="22"/>
          <w:lang w:val="en-AU"/>
        </w:rPr>
        <w:t xml:space="preserve">he support of </w:t>
      </w:r>
      <w:r w:rsidR="00B3325D" w:rsidRPr="00D27522">
        <w:rPr>
          <w:rFonts w:ascii="Book Antiqua" w:hAnsi="Book Antiqua"/>
          <w:sz w:val="22"/>
          <w:szCs w:val="22"/>
          <w:lang w:val="en-AU"/>
        </w:rPr>
        <w:t xml:space="preserve">a </w:t>
      </w:r>
      <w:r w:rsidRPr="00D27522">
        <w:rPr>
          <w:rFonts w:ascii="Book Antiqua" w:hAnsi="Book Antiqua"/>
          <w:sz w:val="22"/>
          <w:szCs w:val="22"/>
          <w:lang w:val="en-AU"/>
        </w:rPr>
        <w:t xml:space="preserve">large a section of the legal profession for too long, Lord Brougham’s comments do </w:t>
      </w:r>
      <w:r w:rsidR="00B3325D" w:rsidRPr="00D27522">
        <w:rPr>
          <w:rFonts w:ascii="Book Antiqua" w:hAnsi="Book Antiqua"/>
          <w:sz w:val="22"/>
          <w:szCs w:val="22"/>
          <w:lang w:val="en-AU"/>
        </w:rPr>
        <w:t>identify an approach</w:t>
      </w:r>
      <w:r w:rsidRPr="00D27522">
        <w:rPr>
          <w:rFonts w:ascii="Book Antiqua" w:hAnsi="Book Antiqua"/>
          <w:sz w:val="22"/>
          <w:szCs w:val="22"/>
          <w:lang w:val="en-AU"/>
        </w:rPr>
        <w:t xml:space="preserve"> that nearly two hundred years later was still being identified as being problematic within the culture of the civil legal system, and in particular the adversarial system that </w:t>
      </w:r>
      <w:r w:rsidR="00AC5031" w:rsidRPr="00D27522">
        <w:rPr>
          <w:rFonts w:ascii="Book Antiqua" w:hAnsi="Book Antiqua"/>
          <w:sz w:val="22"/>
          <w:szCs w:val="22"/>
          <w:lang w:val="en-AU"/>
        </w:rPr>
        <w:t xml:space="preserve">is the hallmark of </w:t>
      </w:r>
      <w:r w:rsidRPr="00D27522">
        <w:rPr>
          <w:rFonts w:ascii="Book Antiqua" w:hAnsi="Book Antiqua"/>
          <w:sz w:val="22"/>
          <w:szCs w:val="22"/>
          <w:lang w:val="en-AU"/>
        </w:rPr>
        <w:t>civil litigation in common law countries.</w:t>
      </w:r>
    </w:p>
    <w:p w:rsidR="009132A4" w:rsidRPr="00D27522" w:rsidRDefault="009132A4" w:rsidP="001C1BB0">
      <w:pPr>
        <w:spacing w:line="360" w:lineRule="auto"/>
        <w:jc w:val="both"/>
        <w:rPr>
          <w:rFonts w:ascii="Book Antiqua" w:hAnsi="Book Antiqua"/>
          <w:sz w:val="22"/>
          <w:szCs w:val="22"/>
          <w:lang w:val="en-AU"/>
        </w:rPr>
      </w:pPr>
    </w:p>
    <w:p w:rsidR="009132A4" w:rsidRPr="00785375" w:rsidRDefault="009132A4" w:rsidP="009132A4">
      <w:pPr>
        <w:spacing w:line="360" w:lineRule="auto"/>
        <w:jc w:val="both"/>
        <w:rPr>
          <w:rFonts w:ascii="Book Antiqua" w:hAnsi="Book Antiqua"/>
          <w:sz w:val="22"/>
          <w:szCs w:val="22"/>
          <w:lang w:val="en-AU"/>
        </w:rPr>
      </w:pPr>
      <w:r w:rsidRPr="00D27522">
        <w:rPr>
          <w:rFonts w:ascii="Book Antiqua" w:hAnsi="Book Antiqua"/>
          <w:sz w:val="22"/>
          <w:szCs w:val="22"/>
          <w:lang w:val="en-AU"/>
        </w:rPr>
        <w:t>The Australian Law Reform Commission</w:t>
      </w:r>
      <w:r w:rsidR="00BB21C5" w:rsidRPr="00D27522">
        <w:rPr>
          <w:rFonts w:ascii="Book Antiqua" w:hAnsi="Book Antiqua"/>
          <w:sz w:val="22"/>
          <w:szCs w:val="22"/>
          <w:lang w:val="en-AU"/>
        </w:rPr>
        <w:t xml:space="preserve"> (ALRC)</w:t>
      </w:r>
      <w:r w:rsidRPr="00D27522">
        <w:rPr>
          <w:rFonts w:ascii="Book Antiqua" w:hAnsi="Book Antiqua"/>
          <w:sz w:val="22"/>
          <w:szCs w:val="22"/>
          <w:lang w:val="en-AU"/>
        </w:rPr>
        <w:t>, in its review of the adversarial system within Australia in the late 1990’s</w:t>
      </w:r>
      <w:r w:rsidR="00D27522">
        <w:rPr>
          <w:rFonts w:ascii="Book Antiqua" w:hAnsi="Book Antiqua"/>
          <w:sz w:val="22"/>
          <w:szCs w:val="22"/>
          <w:lang w:val="en-AU"/>
        </w:rPr>
        <w:t>,</w:t>
      </w:r>
      <w:r w:rsidR="00BB21C5" w:rsidRPr="00D27522">
        <w:rPr>
          <w:rStyle w:val="FootnoteReference"/>
          <w:rFonts w:ascii="Book Antiqua" w:hAnsi="Book Antiqua"/>
          <w:sz w:val="22"/>
          <w:szCs w:val="22"/>
          <w:lang w:val="en-AU"/>
        </w:rPr>
        <w:footnoteReference w:id="10"/>
      </w:r>
      <w:r w:rsidRPr="00D27522">
        <w:rPr>
          <w:rFonts w:ascii="Book Antiqua" w:hAnsi="Book Antiqua"/>
          <w:sz w:val="22"/>
          <w:szCs w:val="22"/>
          <w:lang w:val="en-AU"/>
        </w:rPr>
        <w:t xml:space="preserve"> identified a number of the relative strengths and weaknesses that have traditionally been put forward whenever debate as to the merits of the adversarial system has occurred. The </w:t>
      </w:r>
      <w:r w:rsidR="00BB21C5" w:rsidRPr="00D27522">
        <w:rPr>
          <w:rFonts w:ascii="Book Antiqua" w:hAnsi="Book Antiqua"/>
          <w:sz w:val="22"/>
          <w:szCs w:val="22"/>
          <w:lang w:val="en-AU"/>
        </w:rPr>
        <w:t xml:space="preserve">ALRC </w:t>
      </w:r>
      <w:r w:rsidR="00BE5D5C" w:rsidRPr="00D27522">
        <w:rPr>
          <w:rFonts w:ascii="Book Antiqua" w:hAnsi="Book Antiqua"/>
          <w:sz w:val="22"/>
          <w:szCs w:val="22"/>
          <w:lang w:val="en-AU"/>
        </w:rPr>
        <w:t xml:space="preserve">highlighted the </w:t>
      </w:r>
      <w:r w:rsidRPr="00D27522">
        <w:rPr>
          <w:rFonts w:ascii="Book Antiqua" w:hAnsi="Book Antiqua"/>
          <w:sz w:val="22"/>
          <w:szCs w:val="22"/>
          <w:lang w:val="en-AU"/>
        </w:rPr>
        <w:t>benefits of judicial impartiality inherent in the adversarial system</w:t>
      </w:r>
      <w:r w:rsidR="00BE5D5C" w:rsidRPr="00D27522">
        <w:rPr>
          <w:rFonts w:ascii="Book Antiqua" w:hAnsi="Book Antiqua"/>
          <w:sz w:val="22"/>
          <w:szCs w:val="22"/>
          <w:lang w:val="en-AU"/>
        </w:rPr>
        <w:t>, and the manner in which this factor</w:t>
      </w:r>
      <w:r w:rsidRPr="00D27522">
        <w:rPr>
          <w:rFonts w:ascii="Book Antiqua" w:hAnsi="Book Antiqua"/>
          <w:sz w:val="22"/>
          <w:szCs w:val="22"/>
          <w:lang w:val="en-AU"/>
        </w:rPr>
        <w:t xml:space="preserve"> lends itself to the fundamental common law goal “that justice should not only be done, but shoul</w:t>
      </w:r>
      <w:r w:rsidR="00917731" w:rsidRPr="00D27522">
        <w:rPr>
          <w:rFonts w:ascii="Book Antiqua" w:hAnsi="Book Antiqua"/>
          <w:sz w:val="22"/>
          <w:szCs w:val="22"/>
          <w:lang w:val="en-AU"/>
        </w:rPr>
        <w:t>d manifestly be seen to be done.”</w:t>
      </w:r>
      <w:r w:rsidRPr="00D27522">
        <w:rPr>
          <w:rStyle w:val="FootnoteReference"/>
          <w:rFonts w:ascii="Book Antiqua" w:hAnsi="Book Antiqua"/>
          <w:sz w:val="22"/>
          <w:szCs w:val="22"/>
          <w:lang w:val="en-AU"/>
        </w:rPr>
        <w:footnoteReference w:id="11"/>
      </w:r>
      <w:r w:rsidR="00BE5D5C" w:rsidRPr="00D27522">
        <w:rPr>
          <w:rFonts w:ascii="Book Antiqua" w:hAnsi="Book Antiqua"/>
          <w:sz w:val="22"/>
          <w:szCs w:val="22"/>
          <w:lang w:val="en-AU"/>
        </w:rPr>
        <w:t xml:space="preserve"> </w:t>
      </w:r>
    </w:p>
    <w:p w:rsidR="009132A4" w:rsidRPr="00785375" w:rsidRDefault="009132A4" w:rsidP="009132A4">
      <w:pPr>
        <w:ind w:left="709" w:right="787" w:hanging="142"/>
        <w:jc w:val="both"/>
        <w:rPr>
          <w:rFonts w:ascii="Book Antiqua" w:hAnsi="Book Antiqua"/>
          <w:sz w:val="22"/>
          <w:szCs w:val="22"/>
          <w:lang w:val="en-AU"/>
        </w:rPr>
      </w:pPr>
    </w:p>
    <w:p w:rsidR="009132A4" w:rsidRPr="00785375" w:rsidRDefault="009132A4" w:rsidP="009132A4">
      <w:pPr>
        <w:ind w:left="709" w:right="787" w:hanging="142"/>
        <w:jc w:val="both"/>
        <w:rPr>
          <w:rFonts w:ascii="Book Antiqua" w:hAnsi="Book Antiqua"/>
          <w:sz w:val="22"/>
          <w:szCs w:val="22"/>
          <w:lang w:val="en-AU"/>
        </w:rPr>
      </w:pPr>
    </w:p>
    <w:p w:rsidR="009132A4" w:rsidRPr="00D27522" w:rsidRDefault="009132A4" w:rsidP="009132A4">
      <w:pPr>
        <w:spacing w:line="360" w:lineRule="auto"/>
        <w:jc w:val="both"/>
        <w:rPr>
          <w:rFonts w:ascii="Book Antiqua" w:hAnsi="Book Antiqua"/>
          <w:sz w:val="22"/>
          <w:szCs w:val="22"/>
          <w:lang w:val="en-AU"/>
        </w:rPr>
      </w:pPr>
      <w:r w:rsidRPr="00D27522">
        <w:rPr>
          <w:rFonts w:ascii="Book Antiqua" w:hAnsi="Book Antiqua"/>
          <w:sz w:val="22"/>
          <w:szCs w:val="22"/>
          <w:lang w:val="en-AU"/>
        </w:rPr>
        <w:t>On the other side of the fence the ALRC found that some of the disadvantages included the tactical manoeuvring and obscured focus that can result from the combative nature of the adversarial system.</w:t>
      </w:r>
      <w:r w:rsidRPr="00D27522">
        <w:rPr>
          <w:rStyle w:val="FootnoteReference"/>
          <w:rFonts w:ascii="Book Antiqua" w:hAnsi="Book Antiqua"/>
          <w:sz w:val="22"/>
          <w:szCs w:val="22"/>
          <w:lang w:val="en-AU"/>
        </w:rPr>
        <w:footnoteReference w:id="12"/>
      </w:r>
      <w:r w:rsidRPr="00D27522">
        <w:rPr>
          <w:rFonts w:ascii="Book Antiqua" w:hAnsi="Book Antiqua"/>
          <w:sz w:val="22"/>
          <w:szCs w:val="22"/>
          <w:lang w:val="en-AU"/>
        </w:rPr>
        <w:t xml:space="preserve">These </w:t>
      </w:r>
      <w:r w:rsidR="00E53A36" w:rsidRPr="00D27522">
        <w:rPr>
          <w:rFonts w:ascii="Book Antiqua" w:hAnsi="Book Antiqua"/>
          <w:sz w:val="22"/>
          <w:szCs w:val="22"/>
          <w:lang w:val="en-AU"/>
        </w:rPr>
        <w:t>aspects of less-than</w:t>
      </w:r>
      <w:r w:rsidRPr="00D27522">
        <w:rPr>
          <w:rFonts w:ascii="Book Antiqua" w:hAnsi="Book Antiqua"/>
          <w:sz w:val="22"/>
          <w:szCs w:val="22"/>
          <w:lang w:val="en-AU"/>
        </w:rPr>
        <w:t xml:space="preserve">-savoury conduct by participants was similarly </w:t>
      </w:r>
      <w:r w:rsidR="00B3325D" w:rsidRPr="00D27522">
        <w:rPr>
          <w:rFonts w:ascii="Book Antiqua" w:hAnsi="Book Antiqua"/>
          <w:sz w:val="22"/>
          <w:szCs w:val="22"/>
          <w:lang w:val="en-AU"/>
        </w:rPr>
        <w:t>identified</w:t>
      </w:r>
      <w:r w:rsidRPr="00D27522">
        <w:rPr>
          <w:rFonts w:ascii="Book Antiqua" w:hAnsi="Book Antiqua"/>
          <w:sz w:val="22"/>
          <w:szCs w:val="22"/>
          <w:lang w:val="en-AU"/>
        </w:rPr>
        <w:t xml:space="preserve"> in the V</w:t>
      </w:r>
      <w:r w:rsidR="00917731" w:rsidRPr="00D27522">
        <w:rPr>
          <w:rFonts w:ascii="Book Antiqua" w:hAnsi="Book Antiqua"/>
          <w:sz w:val="22"/>
          <w:szCs w:val="22"/>
          <w:lang w:val="en-AU"/>
        </w:rPr>
        <w:t xml:space="preserve">ictorian </w:t>
      </w:r>
      <w:r w:rsidRPr="00D27522">
        <w:rPr>
          <w:rFonts w:ascii="Book Antiqua" w:hAnsi="Book Antiqua"/>
          <w:sz w:val="22"/>
          <w:szCs w:val="22"/>
          <w:lang w:val="en-AU"/>
        </w:rPr>
        <w:t>L</w:t>
      </w:r>
      <w:r w:rsidR="00917731" w:rsidRPr="00D27522">
        <w:rPr>
          <w:rFonts w:ascii="Book Antiqua" w:hAnsi="Book Antiqua"/>
          <w:sz w:val="22"/>
          <w:szCs w:val="22"/>
          <w:lang w:val="en-AU"/>
        </w:rPr>
        <w:t xml:space="preserve">aw </w:t>
      </w:r>
      <w:r w:rsidRPr="00D27522">
        <w:rPr>
          <w:rFonts w:ascii="Book Antiqua" w:hAnsi="Book Antiqua"/>
          <w:sz w:val="22"/>
          <w:szCs w:val="22"/>
          <w:lang w:val="en-AU"/>
        </w:rPr>
        <w:t>R</w:t>
      </w:r>
      <w:r w:rsidR="00917731" w:rsidRPr="00D27522">
        <w:rPr>
          <w:rFonts w:ascii="Book Antiqua" w:hAnsi="Book Antiqua"/>
          <w:sz w:val="22"/>
          <w:szCs w:val="22"/>
          <w:lang w:val="en-AU"/>
        </w:rPr>
        <w:t xml:space="preserve">eform </w:t>
      </w:r>
      <w:r w:rsidRPr="00D27522">
        <w:rPr>
          <w:rFonts w:ascii="Book Antiqua" w:hAnsi="Book Antiqua"/>
          <w:sz w:val="22"/>
          <w:szCs w:val="22"/>
          <w:lang w:val="en-AU"/>
        </w:rPr>
        <w:t>C</w:t>
      </w:r>
      <w:r w:rsidR="00917731" w:rsidRPr="00D27522">
        <w:rPr>
          <w:rFonts w:ascii="Book Antiqua" w:hAnsi="Book Antiqua"/>
          <w:sz w:val="22"/>
          <w:szCs w:val="22"/>
          <w:lang w:val="en-AU"/>
        </w:rPr>
        <w:t>ommission’s R</w:t>
      </w:r>
      <w:r w:rsidRPr="00D27522">
        <w:rPr>
          <w:rFonts w:ascii="Book Antiqua" w:hAnsi="Book Antiqua"/>
          <w:sz w:val="22"/>
          <w:szCs w:val="22"/>
          <w:lang w:val="en-AU"/>
        </w:rPr>
        <w:t>eport</w:t>
      </w:r>
      <w:r w:rsidR="00917731" w:rsidRPr="00D27522">
        <w:rPr>
          <w:rFonts w:ascii="Book Antiqua" w:hAnsi="Book Antiqua"/>
          <w:sz w:val="22"/>
          <w:szCs w:val="22"/>
          <w:lang w:val="en-AU"/>
        </w:rPr>
        <w:t xml:space="preserve"> into civil justice reform within Victoria</w:t>
      </w:r>
      <w:r w:rsidRPr="00D27522">
        <w:rPr>
          <w:rFonts w:ascii="Book Antiqua" w:hAnsi="Book Antiqua"/>
          <w:sz w:val="22"/>
          <w:szCs w:val="22"/>
          <w:lang w:val="en-AU"/>
        </w:rPr>
        <w:t>,</w:t>
      </w:r>
      <w:r w:rsidR="00917731" w:rsidRPr="00D27522">
        <w:rPr>
          <w:rStyle w:val="FootnoteReference"/>
          <w:rFonts w:ascii="Book Antiqua" w:hAnsi="Book Antiqua"/>
          <w:sz w:val="22"/>
          <w:szCs w:val="22"/>
          <w:lang w:val="en-AU"/>
        </w:rPr>
        <w:footnoteReference w:id="13"/>
      </w:r>
      <w:r w:rsidRPr="00D27522">
        <w:rPr>
          <w:rFonts w:ascii="Book Antiqua" w:hAnsi="Book Antiqua"/>
          <w:sz w:val="22"/>
          <w:szCs w:val="22"/>
          <w:lang w:val="en-AU"/>
        </w:rPr>
        <w:t xml:space="preserve"> which stated that</w:t>
      </w:r>
      <w:r w:rsidR="00AC5031" w:rsidRPr="00D27522">
        <w:rPr>
          <w:rFonts w:ascii="Book Antiqua" w:hAnsi="Book Antiqua"/>
          <w:sz w:val="22"/>
          <w:szCs w:val="22"/>
          <w:lang w:val="en-AU"/>
        </w:rPr>
        <w:t>,</w:t>
      </w:r>
      <w:r w:rsidRPr="00D27522">
        <w:rPr>
          <w:rFonts w:ascii="Book Antiqua" w:hAnsi="Book Antiqua"/>
          <w:sz w:val="22"/>
          <w:szCs w:val="22"/>
          <w:lang w:val="en-AU"/>
        </w:rPr>
        <w:t xml:space="preserve"> anecdotally, there were persistent complaints about conduct issues relating to:</w:t>
      </w:r>
      <w:r w:rsidRPr="00D27522">
        <w:rPr>
          <w:rStyle w:val="FootnoteReference"/>
          <w:rFonts w:ascii="Book Antiqua" w:hAnsi="Book Antiqua"/>
          <w:sz w:val="22"/>
          <w:szCs w:val="22"/>
          <w:lang w:val="en-AU"/>
        </w:rPr>
        <w:footnoteReference w:id="14"/>
      </w:r>
    </w:p>
    <w:p w:rsidR="00590DE2" w:rsidRPr="00D27522" w:rsidRDefault="009132A4" w:rsidP="00590DE2">
      <w:pPr>
        <w:pStyle w:val="ListParagraph"/>
        <w:numPr>
          <w:ilvl w:val="0"/>
          <w:numId w:val="3"/>
        </w:numPr>
        <w:spacing w:line="360" w:lineRule="auto"/>
        <w:jc w:val="both"/>
        <w:rPr>
          <w:rFonts w:ascii="Book Antiqua" w:hAnsi="Book Antiqua"/>
          <w:sz w:val="22"/>
          <w:szCs w:val="22"/>
          <w:lang w:val="en-AU"/>
        </w:rPr>
      </w:pPr>
      <w:r w:rsidRPr="00D27522">
        <w:rPr>
          <w:rFonts w:ascii="Book Antiqua" w:hAnsi="Book Antiqua"/>
          <w:sz w:val="22"/>
          <w:szCs w:val="22"/>
          <w:lang w:val="en-AU"/>
        </w:rPr>
        <w:t>adversarial conduct which may exacerbate the dispute and contribute to the partisan attitudes and practices of lawyers, the parties and witnesses, particularly expert witnesses</w:t>
      </w:r>
    </w:p>
    <w:p w:rsidR="009132A4" w:rsidRPr="00D27522" w:rsidRDefault="009132A4" w:rsidP="00590DE2">
      <w:pPr>
        <w:pStyle w:val="ListParagraph"/>
        <w:numPr>
          <w:ilvl w:val="0"/>
          <w:numId w:val="3"/>
        </w:numPr>
        <w:spacing w:line="360" w:lineRule="auto"/>
        <w:jc w:val="both"/>
        <w:rPr>
          <w:rFonts w:ascii="Book Antiqua" w:hAnsi="Book Antiqua"/>
          <w:sz w:val="22"/>
          <w:szCs w:val="22"/>
          <w:lang w:val="en-AU"/>
        </w:rPr>
      </w:pPr>
      <w:r w:rsidRPr="00D27522">
        <w:rPr>
          <w:rFonts w:ascii="Book Antiqua" w:hAnsi="Book Antiqua"/>
          <w:sz w:val="22"/>
          <w:szCs w:val="22"/>
          <w:lang w:val="en-AU"/>
        </w:rPr>
        <w:t>a lack of cooperation and disclosure, particularly at an early stage of proceedings</w:t>
      </w:r>
    </w:p>
    <w:p w:rsidR="00590DE2" w:rsidRPr="00D27522" w:rsidRDefault="009132A4" w:rsidP="00590DE2">
      <w:pPr>
        <w:pStyle w:val="ListParagraph"/>
        <w:numPr>
          <w:ilvl w:val="0"/>
          <w:numId w:val="3"/>
        </w:numPr>
        <w:spacing w:line="360" w:lineRule="auto"/>
        <w:jc w:val="both"/>
        <w:rPr>
          <w:rFonts w:ascii="Book Antiqua" w:hAnsi="Book Antiqua"/>
          <w:sz w:val="22"/>
          <w:szCs w:val="22"/>
          <w:lang w:val="en-AU"/>
        </w:rPr>
      </w:pPr>
      <w:r w:rsidRPr="00D27522">
        <w:rPr>
          <w:rFonts w:ascii="Book Antiqua" w:hAnsi="Book Antiqua"/>
          <w:sz w:val="22"/>
          <w:szCs w:val="22"/>
          <w:lang w:val="en-AU"/>
        </w:rPr>
        <w:t>the use of procedural tactics, including to delay proceedings, where it is perceived to be in a litigant’s interest</w:t>
      </w:r>
      <w:r w:rsidR="00590DE2" w:rsidRPr="00D27522">
        <w:rPr>
          <w:rFonts w:ascii="Book Antiqua" w:hAnsi="Book Antiqua"/>
          <w:sz w:val="22"/>
          <w:szCs w:val="22"/>
          <w:lang w:val="en-AU"/>
        </w:rPr>
        <w:t>; and</w:t>
      </w:r>
    </w:p>
    <w:p w:rsidR="009132A4" w:rsidRPr="00D27522" w:rsidRDefault="009132A4" w:rsidP="00590DE2">
      <w:pPr>
        <w:pStyle w:val="ListParagraph"/>
        <w:numPr>
          <w:ilvl w:val="0"/>
          <w:numId w:val="3"/>
        </w:numPr>
        <w:spacing w:line="360" w:lineRule="auto"/>
        <w:jc w:val="both"/>
        <w:rPr>
          <w:rFonts w:ascii="Book Antiqua" w:hAnsi="Book Antiqua"/>
          <w:sz w:val="22"/>
          <w:szCs w:val="22"/>
          <w:lang w:val="en-AU"/>
        </w:rPr>
      </w:pPr>
      <w:r w:rsidRPr="00D27522">
        <w:rPr>
          <w:rFonts w:ascii="Book Antiqua" w:hAnsi="Book Antiqua"/>
          <w:sz w:val="22"/>
          <w:szCs w:val="22"/>
          <w:lang w:val="en-AU"/>
        </w:rPr>
        <w:t>incurring unnecessary or disproportionate legal and other costs.</w:t>
      </w:r>
    </w:p>
    <w:p w:rsidR="009132A4" w:rsidRPr="00D27522" w:rsidRDefault="009132A4" w:rsidP="009132A4">
      <w:pPr>
        <w:spacing w:line="360" w:lineRule="auto"/>
        <w:jc w:val="both"/>
        <w:rPr>
          <w:rFonts w:ascii="Book Antiqua" w:hAnsi="Book Antiqua"/>
          <w:sz w:val="22"/>
          <w:szCs w:val="22"/>
          <w:lang w:val="en-AU"/>
        </w:rPr>
      </w:pPr>
    </w:p>
    <w:p w:rsidR="002F55CE" w:rsidRPr="00D27522" w:rsidRDefault="00590DE2" w:rsidP="009132A4">
      <w:pPr>
        <w:spacing w:line="360" w:lineRule="auto"/>
        <w:jc w:val="both"/>
        <w:rPr>
          <w:rFonts w:ascii="Book Antiqua" w:hAnsi="Book Antiqua"/>
          <w:sz w:val="22"/>
          <w:szCs w:val="22"/>
          <w:lang w:val="en-AU"/>
        </w:rPr>
      </w:pPr>
      <w:r w:rsidRPr="00D27522">
        <w:rPr>
          <w:rFonts w:ascii="Book Antiqua" w:hAnsi="Book Antiqua"/>
          <w:sz w:val="22"/>
          <w:szCs w:val="22"/>
          <w:lang w:val="en-AU"/>
        </w:rPr>
        <w:t>T</w:t>
      </w:r>
      <w:r w:rsidR="00BB21C5" w:rsidRPr="00D27522">
        <w:rPr>
          <w:rFonts w:ascii="Book Antiqua" w:hAnsi="Book Antiqua"/>
          <w:sz w:val="22"/>
          <w:szCs w:val="22"/>
          <w:lang w:val="en-AU"/>
        </w:rPr>
        <w:t xml:space="preserve">he issue of proportionality </w:t>
      </w:r>
      <w:r w:rsidRPr="00D27522">
        <w:rPr>
          <w:rFonts w:ascii="Book Antiqua" w:hAnsi="Book Antiqua"/>
          <w:sz w:val="22"/>
          <w:szCs w:val="22"/>
          <w:lang w:val="en-AU"/>
        </w:rPr>
        <w:t>with respect</w:t>
      </w:r>
      <w:r w:rsidR="00BB21C5" w:rsidRPr="00D27522">
        <w:rPr>
          <w:rFonts w:ascii="Book Antiqua" w:hAnsi="Book Antiqua"/>
          <w:sz w:val="22"/>
          <w:szCs w:val="22"/>
          <w:lang w:val="en-AU"/>
        </w:rPr>
        <w:t xml:space="preserve"> to the costs that practitioners charge for the services they provide is one that was discussed at length in both the reviews conduct</w:t>
      </w:r>
      <w:r w:rsidR="002F55CE" w:rsidRPr="00D27522">
        <w:rPr>
          <w:rFonts w:ascii="Book Antiqua" w:hAnsi="Book Antiqua"/>
          <w:sz w:val="22"/>
          <w:szCs w:val="22"/>
          <w:lang w:val="en-AU"/>
        </w:rPr>
        <w:t xml:space="preserve">ed by the ALRC and the VLRC. </w:t>
      </w:r>
      <w:r w:rsidRPr="00D27522">
        <w:rPr>
          <w:rFonts w:ascii="Book Antiqua" w:hAnsi="Book Antiqua"/>
          <w:sz w:val="22"/>
          <w:szCs w:val="22"/>
          <w:lang w:val="en-AU"/>
        </w:rPr>
        <w:t>It might be some consolation to observe that this issue is not</w:t>
      </w:r>
      <w:r w:rsidR="002F55CE" w:rsidRPr="00D27522">
        <w:rPr>
          <w:rFonts w:ascii="Book Antiqua" w:hAnsi="Book Antiqua"/>
          <w:sz w:val="22"/>
          <w:szCs w:val="22"/>
          <w:lang w:val="en-AU"/>
        </w:rPr>
        <w:t xml:space="preserve"> one that afflicts only those legal systems with a common law </w:t>
      </w:r>
      <w:r w:rsidR="008524D3" w:rsidRPr="00D27522">
        <w:rPr>
          <w:rFonts w:ascii="Book Antiqua" w:hAnsi="Book Antiqua"/>
          <w:sz w:val="22"/>
          <w:szCs w:val="22"/>
          <w:lang w:val="en-AU"/>
        </w:rPr>
        <w:t>tradition. The German Proverb</w:t>
      </w:r>
      <w:r w:rsidR="00AC5031" w:rsidRPr="00D27522">
        <w:rPr>
          <w:rFonts w:ascii="Book Antiqua" w:hAnsi="Book Antiqua"/>
          <w:sz w:val="22"/>
          <w:szCs w:val="22"/>
          <w:lang w:val="en-AU"/>
        </w:rPr>
        <w:t>,</w:t>
      </w:r>
      <w:r w:rsidR="008524D3" w:rsidRPr="00D27522">
        <w:rPr>
          <w:rFonts w:ascii="Book Antiqua" w:hAnsi="Book Antiqua"/>
          <w:sz w:val="22"/>
          <w:szCs w:val="22"/>
          <w:lang w:val="en-AU"/>
        </w:rPr>
        <w:t xml:space="preserve"> </w:t>
      </w:r>
      <w:r w:rsidR="002F55CE" w:rsidRPr="00D27522">
        <w:rPr>
          <w:rFonts w:ascii="Book Antiqua" w:hAnsi="Book Antiqua"/>
          <w:sz w:val="22"/>
          <w:szCs w:val="22"/>
          <w:lang w:val="en-AU"/>
        </w:rPr>
        <w:t>“He who goes to the law for a sheep loses hi</w:t>
      </w:r>
      <w:r w:rsidR="008524D3" w:rsidRPr="00D27522">
        <w:rPr>
          <w:rFonts w:ascii="Book Antiqua" w:hAnsi="Book Antiqua"/>
          <w:sz w:val="22"/>
          <w:szCs w:val="22"/>
          <w:lang w:val="en-AU"/>
        </w:rPr>
        <w:t>s cow” was no doubt coined by a</w:t>
      </w:r>
      <w:r w:rsidR="002F55CE" w:rsidRPr="00D27522">
        <w:rPr>
          <w:rFonts w:ascii="Book Antiqua" w:hAnsi="Book Antiqua"/>
          <w:sz w:val="22"/>
          <w:szCs w:val="22"/>
          <w:lang w:val="en-AU"/>
        </w:rPr>
        <w:t xml:space="preserve"> disgruntled former client of a lawyer who charged a little more than he sh</w:t>
      </w:r>
      <w:r w:rsidR="00E53A36" w:rsidRPr="00D27522">
        <w:rPr>
          <w:rFonts w:ascii="Book Antiqua" w:hAnsi="Book Antiqua"/>
          <w:sz w:val="22"/>
          <w:szCs w:val="22"/>
          <w:lang w:val="en-AU"/>
        </w:rPr>
        <w:t xml:space="preserve">ould have for services rendered, or perhaps failed to conduct </w:t>
      </w:r>
      <w:r w:rsidRPr="00D27522">
        <w:rPr>
          <w:rFonts w:ascii="Book Antiqua" w:hAnsi="Book Antiqua"/>
          <w:sz w:val="22"/>
          <w:szCs w:val="22"/>
          <w:lang w:val="en-AU"/>
        </w:rPr>
        <w:t xml:space="preserve">litigation </w:t>
      </w:r>
      <w:r w:rsidR="00E53A36" w:rsidRPr="00D27522">
        <w:rPr>
          <w:rFonts w:ascii="Book Antiqua" w:hAnsi="Book Antiqua"/>
          <w:sz w:val="22"/>
          <w:szCs w:val="22"/>
          <w:lang w:val="en-AU"/>
        </w:rPr>
        <w:t xml:space="preserve">in an </w:t>
      </w:r>
      <w:r w:rsidRPr="00D27522">
        <w:rPr>
          <w:rFonts w:ascii="Book Antiqua" w:hAnsi="Book Antiqua"/>
          <w:sz w:val="22"/>
          <w:szCs w:val="22"/>
          <w:lang w:val="en-AU"/>
        </w:rPr>
        <w:t xml:space="preserve">efficient and focussed </w:t>
      </w:r>
      <w:r w:rsidR="00E53A36" w:rsidRPr="00D27522">
        <w:rPr>
          <w:rFonts w:ascii="Book Antiqua" w:hAnsi="Book Antiqua"/>
          <w:sz w:val="22"/>
          <w:szCs w:val="22"/>
          <w:lang w:val="en-AU"/>
        </w:rPr>
        <w:t>manner</w:t>
      </w:r>
      <w:r w:rsidRPr="00D27522">
        <w:rPr>
          <w:rFonts w:ascii="Book Antiqua" w:hAnsi="Book Antiqua"/>
          <w:sz w:val="22"/>
          <w:szCs w:val="22"/>
          <w:lang w:val="en-AU"/>
        </w:rPr>
        <w:t xml:space="preserve">. Unfortunately we are still seeing </w:t>
      </w:r>
      <w:r w:rsidR="00AC5031" w:rsidRPr="00D27522">
        <w:rPr>
          <w:rFonts w:ascii="Book Antiqua" w:hAnsi="Book Antiqua"/>
          <w:sz w:val="22"/>
          <w:szCs w:val="22"/>
          <w:lang w:val="en-AU"/>
        </w:rPr>
        <w:t xml:space="preserve">both the sheep and </w:t>
      </w:r>
      <w:r w:rsidRPr="00D27522">
        <w:rPr>
          <w:rFonts w:ascii="Book Antiqua" w:hAnsi="Book Antiqua"/>
          <w:sz w:val="22"/>
          <w:szCs w:val="22"/>
          <w:lang w:val="en-AU"/>
        </w:rPr>
        <w:t>the cow lost all too frequently in our courts.</w:t>
      </w:r>
    </w:p>
    <w:p w:rsidR="002F55CE" w:rsidRPr="00D27522" w:rsidRDefault="00BB21C5" w:rsidP="009132A4">
      <w:pPr>
        <w:spacing w:line="360" w:lineRule="auto"/>
        <w:jc w:val="both"/>
        <w:rPr>
          <w:rFonts w:ascii="Book Antiqua" w:hAnsi="Book Antiqua"/>
          <w:sz w:val="22"/>
          <w:szCs w:val="22"/>
          <w:lang w:val="en-AU"/>
        </w:rPr>
      </w:pPr>
      <w:r w:rsidRPr="00D27522">
        <w:rPr>
          <w:rFonts w:ascii="Book Antiqua" w:hAnsi="Book Antiqua"/>
          <w:sz w:val="22"/>
          <w:szCs w:val="22"/>
          <w:lang w:val="en-AU"/>
        </w:rPr>
        <w:t xml:space="preserve"> </w:t>
      </w:r>
    </w:p>
    <w:p w:rsidR="00BB21C5" w:rsidRPr="00D27522" w:rsidRDefault="002F55CE" w:rsidP="009132A4">
      <w:pPr>
        <w:spacing w:line="360" w:lineRule="auto"/>
        <w:jc w:val="both"/>
        <w:rPr>
          <w:rFonts w:ascii="Book Antiqua" w:hAnsi="Book Antiqua"/>
          <w:sz w:val="22"/>
          <w:szCs w:val="22"/>
          <w:lang w:val="en-AU"/>
        </w:rPr>
      </w:pPr>
      <w:r w:rsidRPr="00D27522">
        <w:rPr>
          <w:rFonts w:ascii="Book Antiqua" w:hAnsi="Book Antiqua"/>
          <w:sz w:val="22"/>
          <w:szCs w:val="22"/>
          <w:lang w:val="en-AU"/>
        </w:rPr>
        <w:t>M</w:t>
      </w:r>
      <w:r w:rsidR="00BB21C5" w:rsidRPr="00D27522">
        <w:rPr>
          <w:rFonts w:ascii="Book Antiqua" w:hAnsi="Book Antiqua"/>
          <w:sz w:val="22"/>
          <w:szCs w:val="22"/>
          <w:lang w:val="en-AU"/>
        </w:rPr>
        <w:t>ore recently</w:t>
      </w:r>
      <w:r w:rsidRPr="00D27522">
        <w:rPr>
          <w:rFonts w:ascii="Book Antiqua" w:hAnsi="Book Antiqua"/>
          <w:sz w:val="22"/>
          <w:szCs w:val="22"/>
          <w:lang w:val="en-AU"/>
        </w:rPr>
        <w:t xml:space="preserve"> the issue of proportionality</w:t>
      </w:r>
      <w:r w:rsidR="00BB21C5" w:rsidRPr="00D27522">
        <w:rPr>
          <w:rFonts w:ascii="Book Antiqua" w:hAnsi="Book Antiqua"/>
          <w:sz w:val="22"/>
          <w:szCs w:val="22"/>
          <w:lang w:val="en-AU"/>
        </w:rPr>
        <w:t xml:space="preserve"> has been the subject of what </w:t>
      </w:r>
      <w:r w:rsidRPr="00D27522">
        <w:rPr>
          <w:rFonts w:ascii="Book Antiqua" w:hAnsi="Book Antiqua"/>
          <w:sz w:val="22"/>
          <w:szCs w:val="22"/>
          <w:lang w:val="en-AU"/>
        </w:rPr>
        <w:t>should</w:t>
      </w:r>
      <w:r w:rsidR="00BB21C5" w:rsidRPr="00D27522">
        <w:rPr>
          <w:rFonts w:ascii="Book Antiqua" w:hAnsi="Book Antiqua"/>
          <w:sz w:val="22"/>
          <w:szCs w:val="22"/>
          <w:lang w:val="en-AU"/>
        </w:rPr>
        <w:t xml:space="preserve"> be seen as a landmark decision </w:t>
      </w:r>
      <w:r w:rsidR="00590DE2" w:rsidRPr="00D27522">
        <w:rPr>
          <w:rFonts w:ascii="Book Antiqua" w:hAnsi="Book Antiqua"/>
          <w:sz w:val="22"/>
          <w:szCs w:val="22"/>
          <w:lang w:val="en-AU"/>
        </w:rPr>
        <w:t xml:space="preserve">of </w:t>
      </w:r>
      <w:r w:rsidR="00BB21C5" w:rsidRPr="00D27522">
        <w:rPr>
          <w:rFonts w:ascii="Book Antiqua" w:hAnsi="Book Antiqua"/>
          <w:sz w:val="22"/>
          <w:szCs w:val="22"/>
          <w:lang w:val="en-AU"/>
        </w:rPr>
        <w:t>the Victorian Court of Appeal in four related proceedings referred to</w:t>
      </w:r>
      <w:r w:rsidR="00E53A36" w:rsidRPr="00D27522">
        <w:rPr>
          <w:rFonts w:ascii="Book Antiqua" w:hAnsi="Book Antiqua"/>
          <w:sz w:val="22"/>
          <w:szCs w:val="22"/>
          <w:lang w:val="en-AU"/>
        </w:rPr>
        <w:t>, collectively,</w:t>
      </w:r>
      <w:r w:rsidR="00BB21C5" w:rsidRPr="00D27522">
        <w:rPr>
          <w:rFonts w:ascii="Book Antiqua" w:hAnsi="Book Antiqua"/>
          <w:sz w:val="22"/>
          <w:szCs w:val="22"/>
          <w:lang w:val="en-AU"/>
        </w:rPr>
        <w:t xml:space="preserve"> as the </w:t>
      </w:r>
      <w:r w:rsidR="00BB21C5" w:rsidRPr="00D27522">
        <w:rPr>
          <w:rFonts w:ascii="Book Antiqua" w:hAnsi="Book Antiqua"/>
          <w:i/>
          <w:sz w:val="22"/>
          <w:szCs w:val="22"/>
          <w:lang w:val="en-AU"/>
        </w:rPr>
        <w:t>Oswal Proceedings</w:t>
      </w:r>
      <w:r w:rsidR="00BB21C5" w:rsidRPr="00D27522">
        <w:rPr>
          <w:rFonts w:ascii="Book Antiqua" w:hAnsi="Book Antiqua"/>
          <w:sz w:val="22"/>
          <w:szCs w:val="22"/>
          <w:lang w:val="en-AU"/>
        </w:rPr>
        <w:t>.</w:t>
      </w:r>
      <w:r w:rsidR="0037532D" w:rsidRPr="0037532D" w:rsidDel="0037532D">
        <w:rPr>
          <w:rStyle w:val="FootnoteReference"/>
          <w:rFonts w:ascii="Book Antiqua" w:hAnsi="Book Antiqua"/>
          <w:sz w:val="22"/>
          <w:szCs w:val="22"/>
          <w:lang w:val="en-AU"/>
        </w:rPr>
        <w:t xml:space="preserve"> </w:t>
      </w:r>
      <w:r w:rsidR="00BB21C5" w:rsidRPr="00D27522">
        <w:rPr>
          <w:rFonts w:ascii="Book Antiqua" w:hAnsi="Book Antiqua"/>
          <w:sz w:val="22"/>
          <w:szCs w:val="22"/>
          <w:lang w:val="en-AU"/>
        </w:rPr>
        <w:t xml:space="preserve">In the </w:t>
      </w:r>
      <w:r w:rsidR="00BB21C5" w:rsidRPr="00D27522">
        <w:rPr>
          <w:rFonts w:ascii="Book Antiqua" w:hAnsi="Book Antiqua"/>
          <w:i/>
          <w:sz w:val="22"/>
          <w:szCs w:val="22"/>
          <w:lang w:val="en-AU"/>
        </w:rPr>
        <w:t>Oswal Proceedings</w:t>
      </w:r>
      <w:r w:rsidR="00A620EE" w:rsidRPr="00D27522">
        <w:rPr>
          <w:rFonts w:ascii="Book Antiqua" w:hAnsi="Book Antiqua"/>
          <w:sz w:val="22"/>
          <w:szCs w:val="22"/>
          <w:lang w:val="en-AU"/>
        </w:rPr>
        <w:t>, the Court of Appeal</w:t>
      </w:r>
      <w:r w:rsidRPr="00D27522">
        <w:rPr>
          <w:rFonts w:ascii="Book Antiqua" w:hAnsi="Book Antiqua"/>
          <w:sz w:val="22"/>
          <w:szCs w:val="22"/>
          <w:lang w:val="en-AU"/>
        </w:rPr>
        <w:t>,</w:t>
      </w:r>
      <w:r w:rsidR="00A620EE" w:rsidRPr="00D27522">
        <w:rPr>
          <w:rFonts w:ascii="Book Antiqua" w:hAnsi="Book Antiqua"/>
          <w:sz w:val="22"/>
          <w:szCs w:val="22"/>
          <w:lang w:val="en-AU"/>
        </w:rPr>
        <w:t xml:space="preserve"> </w:t>
      </w:r>
      <w:r w:rsidRPr="00D27522">
        <w:rPr>
          <w:rFonts w:ascii="Book Antiqua" w:hAnsi="Book Antiqua"/>
          <w:sz w:val="22"/>
          <w:szCs w:val="22"/>
          <w:lang w:val="en-AU"/>
        </w:rPr>
        <w:t>after handing</w:t>
      </w:r>
      <w:r w:rsidR="00BB21C5" w:rsidRPr="00D27522">
        <w:rPr>
          <w:rFonts w:ascii="Book Antiqua" w:hAnsi="Book Antiqua"/>
          <w:sz w:val="22"/>
          <w:szCs w:val="22"/>
          <w:lang w:val="en-AU"/>
        </w:rPr>
        <w:t xml:space="preserve"> down judgment on an appeal from a security for costs application</w:t>
      </w:r>
      <w:r w:rsidR="00A620EE" w:rsidRPr="00D27522">
        <w:rPr>
          <w:rFonts w:ascii="Book Antiqua" w:hAnsi="Book Antiqua"/>
          <w:sz w:val="22"/>
          <w:szCs w:val="22"/>
          <w:lang w:val="en-AU"/>
        </w:rPr>
        <w:t xml:space="preserve">. </w:t>
      </w:r>
      <w:r w:rsidRPr="00D27522">
        <w:rPr>
          <w:rFonts w:ascii="Book Antiqua" w:hAnsi="Book Antiqua"/>
          <w:sz w:val="22"/>
          <w:szCs w:val="22"/>
          <w:lang w:val="en-AU"/>
        </w:rPr>
        <w:t>sought</w:t>
      </w:r>
      <w:r w:rsidR="00A620EE" w:rsidRPr="00D27522">
        <w:rPr>
          <w:rFonts w:ascii="Book Antiqua" w:hAnsi="Book Antiqua"/>
          <w:sz w:val="22"/>
          <w:szCs w:val="22"/>
          <w:lang w:val="en-AU"/>
        </w:rPr>
        <w:t xml:space="preserve"> submissions from the parties </w:t>
      </w:r>
      <w:r w:rsidR="00917731" w:rsidRPr="00D27522">
        <w:rPr>
          <w:rFonts w:ascii="Book Antiqua" w:hAnsi="Book Antiqua"/>
          <w:sz w:val="22"/>
          <w:szCs w:val="22"/>
          <w:lang w:val="en-AU"/>
        </w:rPr>
        <w:t xml:space="preserve">on </w:t>
      </w:r>
      <w:r w:rsidR="00A620EE" w:rsidRPr="00D27522">
        <w:rPr>
          <w:rFonts w:ascii="Book Antiqua" w:hAnsi="Book Antiqua"/>
          <w:sz w:val="22"/>
          <w:szCs w:val="22"/>
          <w:lang w:val="en-AU"/>
        </w:rPr>
        <w:t>the question whether unnecessary or disproportionate legal costs had been incurred</w:t>
      </w:r>
      <w:r w:rsidR="00917731" w:rsidRPr="00D27522">
        <w:rPr>
          <w:rFonts w:ascii="Book Antiqua" w:hAnsi="Book Antiqua"/>
          <w:sz w:val="22"/>
          <w:szCs w:val="22"/>
          <w:lang w:val="en-AU"/>
        </w:rPr>
        <w:t xml:space="preserve"> in breach of the overarching obligations set out in the Act</w:t>
      </w:r>
      <w:r w:rsidR="00A620EE" w:rsidRPr="00D27522">
        <w:rPr>
          <w:rFonts w:ascii="Book Antiqua" w:hAnsi="Book Antiqua"/>
          <w:sz w:val="22"/>
          <w:szCs w:val="22"/>
          <w:lang w:val="en-AU"/>
        </w:rPr>
        <w:t xml:space="preserve">. </w:t>
      </w:r>
      <w:r w:rsidRPr="00D27522">
        <w:rPr>
          <w:rFonts w:ascii="Book Antiqua" w:hAnsi="Book Antiqua"/>
          <w:sz w:val="22"/>
          <w:szCs w:val="22"/>
          <w:lang w:val="en-AU"/>
        </w:rPr>
        <w:t>A</w:t>
      </w:r>
      <w:r w:rsidR="00A620EE" w:rsidRPr="00D27522">
        <w:rPr>
          <w:rFonts w:ascii="Book Antiqua" w:hAnsi="Book Antiqua"/>
          <w:sz w:val="22"/>
          <w:szCs w:val="22"/>
          <w:lang w:val="en-AU"/>
        </w:rPr>
        <w:t>fter noting that “as the enforcement of the overarching obligations under the Act has been so little traversed, there is presently little to guide judicial officers as to the extent of the Court’s powers and the means by which parties or the</w:t>
      </w:r>
      <w:r w:rsidRPr="00D27522">
        <w:rPr>
          <w:rFonts w:ascii="Book Antiqua" w:hAnsi="Book Antiqua"/>
          <w:sz w:val="22"/>
          <w:szCs w:val="22"/>
          <w:lang w:val="en-AU"/>
        </w:rPr>
        <w:t>i</w:t>
      </w:r>
      <w:r w:rsidR="00A620EE" w:rsidRPr="00D27522">
        <w:rPr>
          <w:rFonts w:ascii="Book Antiqua" w:hAnsi="Book Antiqua"/>
          <w:sz w:val="22"/>
          <w:szCs w:val="22"/>
          <w:lang w:val="en-AU"/>
        </w:rPr>
        <w:t>r legal representatives can be penalised for any contravention”</w:t>
      </w:r>
      <w:r w:rsidR="00A620EE" w:rsidRPr="00D27522">
        <w:rPr>
          <w:rStyle w:val="FootnoteReference"/>
          <w:rFonts w:ascii="Book Antiqua" w:hAnsi="Book Antiqua"/>
          <w:sz w:val="22"/>
          <w:szCs w:val="22"/>
          <w:lang w:val="en-AU"/>
        </w:rPr>
        <w:footnoteReference w:id="15"/>
      </w:r>
      <w:r w:rsidR="00A620EE" w:rsidRPr="00D27522">
        <w:rPr>
          <w:rFonts w:ascii="Book Antiqua" w:hAnsi="Book Antiqua"/>
          <w:sz w:val="22"/>
          <w:szCs w:val="22"/>
          <w:lang w:val="en-AU"/>
        </w:rPr>
        <w:t xml:space="preserve"> </w:t>
      </w:r>
      <w:r w:rsidRPr="00D27522">
        <w:rPr>
          <w:rFonts w:ascii="Book Antiqua" w:hAnsi="Book Antiqua"/>
          <w:sz w:val="22"/>
          <w:szCs w:val="22"/>
          <w:lang w:val="en-AU"/>
        </w:rPr>
        <w:t>–</w:t>
      </w:r>
      <w:r w:rsidR="00A620EE" w:rsidRPr="00D27522">
        <w:rPr>
          <w:rFonts w:ascii="Book Antiqua" w:hAnsi="Book Antiqua"/>
          <w:sz w:val="22"/>
          <w:szCs w:val="22"/>
          <w:lang w:val="en-AU"/>
        </w:rPr>
        <w:t xml:space="preserve"> </w:t>
      </w:r>
      <w:r w:rsidRPr="00D27522">
        <w:rPr>
          <w:rFonts w:ascii="Book Antiqua" w:hAnsi="Book Antiqua"/>
          <w:sz w:val="22"/>
          <w:szCs w:val="22"/>
          <w:lang w:val="en-AU"/>
        </w:rPr>
        <w:t xml:space="preserve">the Court of Appeal handed down a further judgment on this issue in a decision that will have far-reaching consequences for practitioners and the way in which they conduct themselves in civil litigation. The </w:t>
      </w:r>
      <w:r w:rsidRPr="00D27522">
        <w:rPr>
          <w:rFonts w:ascii="Book Antiqua" w:hAnsi="Book Antiqua"/>
          <w:i/>
          <w:sz w:val="22"/>
          <w:szCs w:val="22"/>
          <w:lang w:val="en-AU"/>
        </w:rPr>
        <w:t>Oswal Proceedings</w:t>
      </w:r>
      <w:r w:rsidRPr="00D27522">
        <w:rPr>
          <w:rFonts w:ascii="Book Antiqua" w:hAnsi="Book Antiqua"/>
          <w:sz w:val="22"/>
          <w:szCs w:val="22"/>
          <w:lang w:val="en-AU"/>
        </w:rPr>
        <w:t xml:space="preserve"> will be considered in greater detail a little later</w:t>
      </w:r>
    </w:p>
    <w:p w:rsidR="00BB21C5" w:rsidRPr="00D27522" w:rsidRDefault="00BB21C5" w:rsidP="009132A4">
      <w:pPr>
        <w:spacing w:line="360" w:lineRule="auto"/>
        <w:jc w:val="both"/>
        <w:rPr>
          <w:rFonts w:ascii="Book Antiqua" w:hAnsi="Book Antiqua"/>
          <w:sz w:val="22"/>
          <w:szCs w:val="22"/>
          <w:lang w:val="en-AU"/>
        </w:rPr>
      </w:pPr>
    </w:p>
    <w:p w:rsidR="002130C0" w:rsidRPr="00D27522" w:rsidRDefault="002130C0" w:rsidP="002130C0">
      <w:pPr>
        <w:spacing w:line="360" w:lineRule="auto"/>
        <w:jc w:val="both"/>
        <w:rPr>
          <w:rFonts w:ascii="Book Antiqua" w:hAnsi="Book Antiqua"/>
          <w:sz w:val="22"/>
          <w:szCs w:val="22"/>
          <w:lang w:val="en-AU"/>
        </w:rPr>
      </w:pPr>
      <w:r w:rsidRPr="00D27522">
        <w:rPr>
          <w:rFonts w:ascii="Book Antiqua" w:hAnsi="Book Antiqua"/>
          <w:sz w:val="22"/>
          <w:szCs w:val="22"/>
          <w:lang w:val="en-AU"/>
        </w:rPr>
        <w:t xml:space="preserve">A further concern has been the fact that the adversarial system by its very nature has traditionally </w:t>
      </w:r>
      <w:r w:rsidR="002F55CE" w:rsidRPr="00D27522">
        <w:rPr>
          <w:rFonts w:ascii="Book Antiqua" w:hAnsi="Book Antiqua"/>
          <w:sz w:val="22"/>
          <w:szCs w:val="22"/>
          <w:lang w:val="en-AU"/>
        </w:rPr>
        <w:t>seen</w:t>
      </w:r>
      <w:r w:rsidRPr="00D27522">
        <w:rPr>
          <w:rFonts w:ascii="Book Antiqua" w:hAnsi="Book Antiqua"/>
          <w:sz w:val="22"/>
          <w:szCs w:val="22"/>
          <w:lang w:val="en-AU"/>
        </w:rPr>
        <w:t xml:space="preserve"> responsibility for the control of litigation </w:t>
      </w:r>
      <w:r w:rsidR="002F55CE" w:rsidRPr="00D27522">
        <w:rPr>
          <w:rFonts w:ascii="Book Antiqua" w:hAnsi="Book Antiqua"/>
          <w:sz w:val="22"/>
          <w:szCs w:val="22"/>
          <w:lang w:val="en-AU"/>
        </w:rPr>
        <w:t xml:space="preserve">placed </w:t>
      </w:r>
      <w:r w:rsidRPr="00D27522">
        <w:rPr>
          <w:rFonts w:ascii="Book Antiqua" w:hAnsi="Book Antiqua"/>
          <w:sz w:val="22"/>
          <w:szCs w:val="22"/>
          <w:lang w:val="en-AU"/>
        </w:rPr>
        <w:t>almost solely in the hands of the litigants and their legal advisors, with the court being there “simply to provide a level playing field and to referee whatever game the parties choose to play upon it.”</w:t>
      </w:r>
      <w:r w:rsidRPr="00D27522">
        <w:rPr>
          <w:rStyle w:val="FootnoteReference"/>
          <w:rFonts w:ascii="Book Antiqua" w:hAnsi="Book Antiqua"/>
          <w:sz w:val="22"/>
          <w:szCs w:val="22"/>
          <w:lang w:val="en-AU"/>
        </w:rPr>
        <w:footnoteReference w:id="16"/>
      </w:r>
      <w:r w:rsidRPr="00D27522">
        <w:rPr>
          <w:rFonts w:ascii="Book Antiqua" w:hAnsi="Book Antiqua"/>
          <w:sz w:val="22"/>
          <w:szCs w:val="22"/>
          <w:lang w:val="en-AU"/>
        </w:rPr>
        <w:t xml:space="preserve"> This use of sporting analogy when describing the role of the court in years past has often been a favourite of English Judges, with Templeton LJ noting with disapproval that there was once a time where “litigation was a game which litigants and their advisers were at liberty to play at their own pace and that the only duty of a judge was to decide a proportion of those cases which survived to the last round.”</w:t>
      </w:r>
      <w:r w:rsidRPr="00D27522">
        <w:rPr>
          <w:rStyle w:val="FootnoteReference"/>
          <w:rFonts w:ascii="Book Antiqua" w:hAnsi="Book Antiqua"/>
          <w:sz w:val="22"/>
          <w:szCs w:val="22"/>
          <w:lang w:val="en-AU"/>
        </w:rPr>
        <w:footnoteReference w:id="17"/>
      </w:r>
    </w:p>
    <w:p w:rsidR="002130C0" w:rsidRPr="00D27522" w:rsidRDefault="002130C0" w:rsidP="002130C0">
      <w:pPr>
        <w:spacing w:line="360" w:lineRule="auto"/>
        <w:jc w:val="both"/>
        <w:rPr>
          <w:rFonts w:ascii="Book Antiqua" w:hAnsi="Book Antiqua"/>
          <w:sz w:val="22"/>
          <w:szCs w:val="22"/>
          <w:lang w:val="en-AU"/>
        </w:rPr>
      </w:pPr>
    </w:p>
    <w:p w:rsidR="002130C0" w:rsidRPr="00D27522" w:rsidRDefault="002130C0" w:rsidP="002130C0">
      <w:pPr>
        <w:spacing w:line="360" w:lineRule="auto"/>
        <w:jc w:val="both"/>
        <w:rPr>
          <w:rFonts w:ascii="Book Antiqua" w:hAnsi="Book Antiqua"/>
          <w:sz w:val="22"/>
          <w:szCs w:val="22"/>
          <w:lang w:val="en-AU"/>
        </w:rPr>
      </w:pPr>
      <w:r w:rsidRPr="00D27522">
        <w:rPr>
          <w:rFonts w:ascii="Book Antiqua" w:hAnsi="Book Antiqua"/>
          <w:sz w:val="22"/>
          <w:szCs w:val="22"/>
          <w:lang w:val="en-AU"/>
        </w:rPr>
        <w:t xml:space="preserve">Whilst these colourful analogies paint a perhaps less than flattering </w:t>
      </w:r>
      <w:r w:rsidR="00AC5031" w:rsidRPr="00D27522">
        <w:rPr>
          <w:rFonts w:ascii="Book Antiqua" w:hAnsi="Book Antiqua"/>
          <w:sz w:val="22"/>
          <w:szCs w:val="22"/>
          <w:lang w:val="en-AU"/>
        </w:rPr>
        <w:t xml:space="preserve">picture </w:t>
      </w:r>
      <w:r w:rsidRPr="00D27522">
        <w:rPr>
          <w:rFonts w:ascii="Book Antiqua" w:hAnsi="Book Antiqua"/>
          <w:sz w:val="22"/>
          <w:szCs w:val="22"/>
          <w:lang w:val="en-AU"/>
        </w:rPr>
        <w:t xml:space="preserve">of the combative nature in which litigants and their lawyers </w:t>
      </w:r>
      <w:r w:rsidR="00590DE2" w:rsidRPr="00D27522">
        <w:rPr>
          <w:rFonts w:ascii="Book Antiqua" w:hAnsi="Book Antiqua"/>
          <w:sz w:val="22"/>
          <w:szCs w:val="22"/>
          <w:lang w:val="en-AU"/>
        </w:rPr>
        <w:t xml:space="preserve">have conducted </w:t>
      </w:r>
      <w:r w:rsidRPr="00D27522">
        <w:rPr>
          <w:rFonts w:ascii="Book Antiqua" w:hAnsi="Book Antiqua"/>
          <w:sz w:val="22"/>
          <w:szCs w:val="22"/>
          <w:lang w:val="en-AU"/>
        </w:rPr>
        <w:t>proceedings before the court</w:t>
      </w:r>
      <w:r w:rsidR="00E53A36" w:rsidRPr="00D27522">
        <w:rPr>
          <w:rFonts w:ascii="Book Antiqua" w:hAnsi="Book Antiqua"/>
          <w:sz w:val="22"/>
          <w:szCs w:val="22"/>
          <w:lang w:val="en-AU"/>
        </w:rPr>
        <w:t>s</w:t>
      </w:r>
      <w:r w:rsidRPr="00D27522">
        <w:rPr>
          <w:rFonts w:ascii="Book Antiqua" w:hAnsi="Book Antiqua"/>
          <w:sz w:val="22"/>
          <w:szCs w:val="22"/>
          <w:lang w:val="en-AU"/>
        </w:rPr>
        <w:t>, they do serve to illustrate the essential role that lawyers have always played in seeking the attainment of justi</w:t>
      </w:r>
      <w:r w:rsidR="00E53A36" w:rsidRPr="00D27522">
        <w:rPr>
          <w:rFonts w:ascii="Book Antiqua" w:hAnsi="Book Antiqua"/>
          <w:sz w:val="22"/>
          <w:szCs w:val="22"/>
          <w:lang w:val="en-AU"/>
        </w:rPr>
        <w:t>ce under the adversarial system -</w:t>
      </w:r>
      <w:r w:rsidRPr="00D27522">
        <w:rPr>
          <w:rFonts w:ascii="Book Antiqua" w:hAnsi="Book Antiqua"/>
          <w:sz w:val="22"/>
          <w:szCs w:val="22"/>
          <w:lang w:val="en-AU"/>
        </w:rPr>
        <w:t xml:space="preserve"> even if by allowing such leeway for practitioners to </w:t>
      </w:r>
      <w:r w:rsidR="00AC5031" w:rsidRPr="00D27522">
        <w:rPr>
          <w:rFonts w:ascii="Book Antiqua" w:hAnsi="Book Antiqua"/>
          <w:sz w:val="22"/>
          <w:szCs w:val="22"/>
          <w:lang w:val="en-AU"/>
        </w:rPr>
        <w:t xml:space="preserve">conduct </w:t>
      </w:r>
      <w:r w:rsidRPr="00D27522">
        <w:rPr>
          <w:rFonts w:ascii="Book Antiqua" w:hAnsi="Book Antiqua"/>
          <w:sz w:val="22"/>
          <w:szCs w:val="22"/>
          <w:lang w:val="en-AU"/>
        </w:rPr>
        <w:t>proceedings as they see fit the cour</w:t>
      </w:r>
      <w:r w:rsidR="00B83E7E" w:rsidRPr="00D27522">
        <w:rPr>
          <w:rFonts w:ascii="Book Antiqua" w:hAnsi="Book Antiqua"/>
          <w:sz w:val="22"/>
          <w:szCs w:val="22"/>
          <w:lang w:val="en-AU"/>
        </w:rPr>
        <w:t>ts may have inadvertently given</w:t>
      </w:r>
      <w:r w:rsidRPr="00D27522">
        <w:rPr>
          <w:rFonts w:ascii="Book Antiqua" w:hAnsi="Book Antiqua"/>
          <w:sz w:val="22"/>
          <w:szCs w:val="22"/>
          <w:lang w:val="en-AU"/>
        </w:rPr>
        <w:t xml:space="preserve"> weight to the idea that the one great principle of the English Law was to make business for itself.</w:t>
      </w:r>
      <w:r w:rsidR="00B83E7E" w:rsidRPr="00D27522">
        <w:rPr>
          <w:rStyle w:val="FootnoteReference"/>
          <w:rFonts w:ascii="Book Antiqua" w:hAnsi="Book Antiqua"/>
          <w:sz w:val="22"/>
          <w:szCs w:val="22"/>
          <w:lang w:val="en-AU"/>
        </w:rPr>
        <w:footnoteReference w:id="18"/>
      </w:r>
      <w:r w:rsidRPr="00D27522">
        <w:rPr>
          <w:rFonts w:ascii="Book Antiqua" w:hAnsi="Book Antiqua"/>
          <w:sz w:val="22"/>
          <w:szCs w:val="22"/>
          <w:lang w:val="en-AU"/>
        </w:rPr>
        <w:t xml:space="preserve"> </w:t>
      </w:r>
    </w:p>
    <w:p w:rsidR="002130C0" w:rsidRPr="00D27522" w:rsidRDefault="002130C0" w:rsidP="002130C0">
      <w:pPr>
        <w:spacing w:line="360" w:lineRule="auto"/>
        <w:jc w:val="both"/>
        <w:rPr>
          <w:rFonts w:ascii="Book Antiqua" w:hAnsi="Book Antiqua"/>
          <w:sz w:val="22"/>
          <w:szCs w:val="22"/>
          <w:lang w:val="en-AU"/>
        </w:rPr>
      </w:pPr>
    </w:p>
    <w:p w:rsidR="002130C0" w:rsidRPr="00D27522" w:rsidRDefault="00E53A36" w:rsidP="002130C0">
      <w:pPr>
        <w:spacing w:line="360" w:lineRule="auto"/>
        <w:jc w:val="both"/>
        <w:rPr>
          <w:rFonts w:ascii="Book Antiqua" w:hAnsi="Book Antiqua"/>
          <w:sz w:val="22"/>
          <w:szCs w:val="22"/>
          <w:lang w:val="en-AU"/>
        </w:rPr>
      </w:pPr>
      <w:r w:rsidRPr="00D27522">
        <w:rPr>
          <w:rFonts w:ascii="Book Antiqua" w:hAnsi="Book Antiqua"/>
          <w:sz w:val="22"/>
          <w:szCs w:val="22"/>
          <w:lang w:val="en-AU"/>
        </w:rPr>
        <w:t xml:space="preserve">The critical role of lawyers in civil litigation is not, however, to be underestimated. </w:t>
      </w:r>
      <w:r w:rsidR="00917731" w:rsidRPr="00D27522">
        <w:rPr>
          <w:rFonts w:ascii="Book Antiqua" w:hAnsi="Book Antiqua"/>
          <w:sz w:val="22"/>
          <w:szCs w:val="22"/>
          <w:lang w:val="en-AU"/>
        </w:rPr>
        <w:t xml:space="preserve">As </w:t>
      </w:r>
      <w:r w:rsidR="00B83E7E" w:rsidRPr="00D27522">
        <w:rPr>
          <w:rFonts w:ascii="Book Antiqua" w:hAnsi="Book Antiqua"/>
          <w:sz w:val="22"/>
          <w:szCs w:val="22"/>
          <w:lang w:val="en-AU"/>
        </w:rPr>
        <w:t>Justice David Ipp</w:t>
      </w:r>
      <w:r w:rsidR="002130C0" w:rsidRPr="00D27522">
        <w:rPr>
          <w:rFonts w:ascii="Book Antiqua" w:hAnsi="Book Antiqua"/>
          <w:sz w:val="22"/>
          <w:szCs w:val="22"/>
          <w:lang w:val="en-AU"/>
        </w:rPr>
        <w:t>,</w:t>
      </w:r>
      <w:r w:rsidR="00B83E7E" w:rsidRPr="00D27522">
        <w:rPr>
          <w:rFonts w:ascii="Book Antiqua" w:hAnsi="Book Antiqua"/>
          <w:sz w:val="22"/>
          <w:szCs w:val="22"/>
          <w:lang w:val="en-AU"/>
        </w:rPr>
        <w:t xml:space="preserve"> </w:t>
      </w:r>
      <w:r w:rsidRPr="00D27522">
        <w:rPr>
          <w:rFonts w:ascii="Book Antiqua" w:hAnsi="Book Antiqua"/>
          <w:sz w:val="22"/>
          <w:szCs w:val="22"/>
          <w:lang w:val="en-AU"/>
        </w:rPr>
        <w:t>(</w:t>
      </w:r>
      <w:r w:rsidR="00B83E7E" w:rsidRPr="00D27522">
        <w:rPr>
          <w:rFonts w:ascii="Book Antiqua" w:hAnsi="Book Antiqua"/>
          <w:sz w:val="22"/>
          <w:szCs w:val="22"/>
          <w:lang w:val="en-AU"/>
        </w:rPr>
        <w:t xml:space="preserve">as he </w:t>
      </w:r>
      <w:r w:rsidRPr="00D27522">
        <w:rPr>
          <w:rFonts w:ascii="Book Antiqua" w:hAnsi="Book Antiqua"/>
          <w:sz w:val="22"/>
          <w:szCs w:val="22"/>
          <w:lang w:val="en-AU"/>
        </w:rPr>
        <w:t>then was)</w:t>
      </w:r>
      <w:r w:rsidR="00B83E7E" w:rsidRPr="00D27522">
        <w:rPr>
          <w:rFonts w:ascii="Book Antiqua" w:hAnsi="Book Antiqua"/>
          <w:sz w:val="22"/>
          <w:szCs w:val="22"/>
          <w:lang w:val="en-AU"/>
        </w:rPr>
        <w:t>,</w:t>
      </w:r>
      <w:r w:rsidR="002130C0" w:rsidRPr="00D27522">
        <w:rPr>
          <w:rFonts w:ascii="Book Antiqua" w:hAnsi="Book Antiqua"/>
          <w:sz w:val="22"/>
          <w:szCs w:val="22"/>
          <w:lang w:val="en-AU"/>
        </w:rPr>
        <w:t xml:space="preserve"> </w:t>
      </w:r>
      <w:r w:rsidRPr="00D27522">
        <w:rPr>
          <w:rFonts w:ascii="Book Antiqua" w:hAnsi="Book Antiqua"/>
          <w:sz w:val="22"/>
          <w:szCs w:val="22"/>
          <w:lang w:val="en-AU"/>
        </w:rPr>
        <w:t>observed</w:t>
      </w:r>
      <w:r w:rsidR="002130C0" w:rsidRPr="00D27522">
        <w:rPr>
          <w:rFonts w:ascii="Book Antiqua" w:hAnsi="Book Antiqua"/>
          <w:sz w:val="22"/>
          <w:szCs w:val="22"/>
          <w:lang w:val="en-AU"/>
        </w:rPr>
        <w:t>:</w:t>
      </w:r>
      <w:r w:rsidR="002130C0" w:rsidRPr="00D27522">
        <w:rPr>
          <w:rStyle w:val="FootnoteReference"/>
          <w:rFonts w:ascii="Book Antiqua" w:hAnsi="Book Antiqua"/>
          <w:sz w:val="22"/>
          <w:szCs w:val="22"/>
          <w:lang w:val="en-AU"/>
        </w:rPr>
        <w:footnoteReference w:id="19"/>
      </w:r>
    </w:p>
    <w:p w:rsidR="002130C0" w:rsidRPr="00D27522" w:rsidRDefault="002130C0" w:rsidP="002130C0">
      <w:pPr>
        <w:spacing w:line="360" w:lineRule="auto"/>
        <w:jc w:val="both"/>
        <w:rPr>
          <w:rFonts w:ascii="Book Antiqua" w:hAnsi="Book Antiqua"/>
          <w:sz w:val="22"/>
          <w:szCs w:val="22"/>
          <w:lang w:val="en-AU"/>
        </w:rPr>
      </w:pPr>
    </w:p>
    <w:p w:rsidR="00B83E7E" w:rsidRPr="00D27522" w:rsidRDefault="002130C0" w:rsidP="00E511AF">
      <w:pPr>
        <w:ind w:left="1440" w:right="720"/>
        <w:jc w:val="both"/>
        <w:rPr>
          <w:rFonts w:ascii="Book Antiqua" w:hAnsi="Book Antiqua"/>
          <w:sz w:val="20"/>
          <w:szCs w:val="20"/>
          <w:lang w:val="en-AU"/>
        </w:rPr>
      </w:pPr>
      <w:r w:rsidRPr="00D27522">
        <w:rPr>
          <w:rFonts w:ascii="Book Antiqua" w:hAnsi="Book Antiqua"/>
          <w:sz w:val="20"/>
          <w:szCs w:val="20"/>
          <w:lang w:val="en-AU"/>
        </w:rPr>
        <w:t>“The power of the judge to find the truth is dependent upon the ability and desire of the parties’ lawyers to lay all the relevant facts before the court. Zeal and efficiency alone, however, do not ensure the doing of justice. The just operation of the legal system depends upon lawyers acting honestly and ethically, and not deliberately delaying or lengthening the proceedings or employing obstructionist tactics. The underlying purpose of the lawyers’ duties to the court is to protect the administration of justice by empowering the court to enforce appropriate behaviour by lawyers so as to achieve this end.”</w:t>
      </w:r>
    </w:p>
    <w:p w:rsidR="00B83E7E" w:rsidRPr="00D27522" w:rsidRDefault="00B83E7E" w:rsidP="001C1BB0">
      <w:pPr>
        <w:spacing w:line="360" w:lineRule="auto"/>
        <w:jc w:val="both"/>
        <w:rPr>
          <w:rFonts w:ascii="Book Antiqua" w:hAnsi="Book Antiqua"/>
          <w:sz w:val="22"/>
          <w:szCs w:val="22"/>
          <w:lang w:val="en-AU"/>
        </w:rPr>
      </w:pPr>
    </w:p>
    <w:p w:rsidR="00DB60F8" w:rsidRPr="00D11DBD" w:rsidRDefault="005270B2" w:rsidP="001C1BB0">
      <w:pPr>
        <w:spacing w:line="360" w:lineRule="auto"/>
        <w:jc w:val="both"/>
        <w:rPr>
          <w:rFonts w:ascii="Book Antiqua" w:hAnsi="Book Antiqua"/>
          <w:b/>
          <w:u w:val="single"/>
          <w:lang w:val="en-AU"/>
        </w:rPr>
      </w:pPr>
      <w:r w:rsidRPr="00D11DBD">
        <w:rPr>
          <w:rFonts w:ascii="Book Antiqua" w:hAnsi="Book Antiqua"/>
          <w:b/>
          <w:u w:val="single"/>
          <w:lang w:val="en-AU"/>
        </w:rPr>
        <w:t>Changing the culture</w:t>
      </w:r>
    </w:p>
    <w:p w:rsidR="00A66833" w:rsidRPr="00D27522" w:rsidRDefault="00A66833" w:rsidP="001C1BB0">
      <w:pPr>
        <w:spacing w:line="360" w:lineRule="auto"/>
        <w:jc w:val="both"/>
        <w:rPr>
          <w:rFonts w:ascii="Book Antiqua" w:hAnsi="Book Antiqua"/>
          <w:sz w:val="22"/>
          <w:szCs w:val="22"/>
          <w:lang w:val="en-AU"/>
        </w:rPr>
      </w:pPr>
    </w:p>
    <w:p w:rsidR="005270B2" w:rsidRPr="00D27522" w:rsidRDefault="00590DE2" w:rsidP="00A66833">
      <w:pPr>
        <w:spacing w:line="360" w:lineRule="auto"/>
        <w:jc w:val="both"/>
        <w:rPr>
          <w:rFonts w:ascii="Book Antiqua" w:hAnsi="Book Antiqua"/>
          <w:sz w:val="22"/>
          <w:szCs w:val="22"/>
          <w:lang w:val="en-AU"/>
        </w:rPr>
      </w:pPr>
      <w:r w:rsidRPr="00D27522">
        <w:rPr>
          <w:rFonts w:ascii="Book Antiqua" w:hAnsi="Book Antiqua"/>
          <w:sz w:val="22"/>
          <w:szCs w:val="22"/>
          <w:lang w:val="en-AU"/>
        </w:rPr>
        <w:t>It has become clear that in</w:t>
      </w:r>
      <w:r w:rsidR="00B83E7E" w:rsidRPr="00D27522">
        <w:rPr>
          <w:rFonts w:ascii="Book Antiqua" w:hAnsi="Book Antiqua"/>
          <w:sz w:val="22"/>
          <w:szCs w:val="22"/>
          <w:lang w:val="en-AU"/>
        </w:rPr>
        <w:t xml:space="preserve"> order to change the way in which litigation </w:t>
      </w:r>
      <w:r w:rsidRPr="00D27522">
        <w:rPr>
          <w:rFonts w:ascii="Book Antiqua" w:hAnsi="Book Antiqua"/>
          <w:sz w:val="22"/>
          <w:szCs w:val="22"/>
          <w:lang w:val="en-AU"/>
        </w:rPr>
        <w:t xml:space="preserve">is conducted more active judicial intervention is required. So we have seen </w:t>
      </w:r>
      <w:r w:rsidR="00B83E7E" w:rsidRPr="00D27522">
        <w:rPr>
          <w:rFonts w:ascii="Book Antiqua" w:hAnsi="Book Antiqua"/>
          <w:sz w:val="22"/>
          <w:szCs w:val="22"/>
          <w:lang w:val="en-AU"/>
        </w:rPr>
        <w:t xml:space="preserve">more active judicial case management </w:t>
      </w:r>
      <w:r w:rsidR="00AC5031" w:rsidRPr="00D27522">
        <w:rPr>
          <w:rFonts w:ascii="Book Antiqua" w:hAnsi="Book Antiqua"/>
          <w:sz w:val="22"/>
          <w:szCs w:val="22"/>
          <w:lang w:val="en-AU"/>
        </w:rPr>
        <w:t>gathering</w:t>
      </w:r>
      <w:r w:rsidR="00B83E7E" w:rsidRPr="00D27522">
        <w:rPr>
          <w:rFonts w:ascii="Book Antiqua" w:hAnsi="Book Antiqua"/>
          <w:sz w:val="22"/>
          <w:szCs w:val="22"/>
          <w:lang w:val="en-AU"/>
        </w:rPr>
        <w:t xml:space="preserve"> strength </w:t>
      </w:r>
      <w:r w:rsidR="00A44757" w:rsidRPr="00D27522">
        <w:rPr>
          <w:rFonts w:ascii="Book Antiqua" w:hAnsi="Book Antiqua"/>
          <w:sz w:val="22"/>
          <w:szCs w:val="22"/>
          <w:lang w:val="en-AU"/>
        </w:rPr>
        <w:t xml:space="preserve">in </w:t>
      </w:r>
      <w:r w:rsidR="00B83E7E" w:rsidRPr="00D27522">
        <w:rPr>
          <w:rFonts w:ascii="Book Antiqua" w:hAnsi="Book Antiqua"/>
          <w:sz w:val="22"/>
          <w:szCs w:val="22"/>
          <w:lang w:val="en-AU"/>
        </w:rPr>
        <w:t>recent time</w:t>
      </w:r>
      <w:r w:rsidR="00917731" w:rsidRPr="00D27522">
        <w:rPr>
          <w:rFonts w:ascii="Book Antiqua" w:hAnsi="Book Antiqua"/>
          <w:sz w:val="22"/>
          <w:szCs w:val="22"/>
          <w:lang w:val="en-AU"/>
        </w:rPr>
        <w:t>s</w:t>
      </w:r>
      <w:r w:rsidR="00B83E7E" w:rsidRPr="00D27522">
        <w:rPr>
          <w:rFonts w:ascii="Book Antiqua" w:hAnsi="Book Antiqua"/>
          <w:sz w:val="22"/>
          <w:szCs w:val="22"/>
          <w:lang w:val="en-AU"/>
        </w:rPr>
        <w:t xml:space="preserve">. </w:t>
      </w:r>
      <w:r w:rsidR="00B83E7E" w:rsidRPr="00D27522">
        <w:rPr>
          <w:rFonts w:ascii="Book Antiqua" w:hAnsi="Book Antiqua"/>
          <w:sz w:val="22"/>
          <w:szCs w:val="22"/>
        </w:rPr>
        <w:t>This</w:t>
      </w:r>
      <w:r w:rsidR="00A66833" w:rsidRPr="00D27522">
        <w:rPr>
          <w:rFonts w:ascii="Book Antiqua" w:hAnsi="Book Antiqua"/>
          <w:sz w:val="22"/>
          <w:szCs w:val="22"/>
        </w:rPr>
        <w:t xml:space="preserve"> </w:t>
      </w:r>
      <w:r w:rsidR="00A44757" w:rsidRPr="00D27522">
        <w:rPr>
          <w:rFonts w:ascii="Book Antiqua" w:hAnsi="Book Antiqua"/>
          <w:sz w:val="22"/>
          <w:szCs w:val="22"/>
        </w:rPr>
        <w:t>development and appreciation of the need for this intervention has</w:t>
      </w:r>
      <w:r w:rsidR="00AE3D12">
        <w:rPr>
          <w:rFonts w:ascii="Book Antiqua" w:hAnsi="Book Antiqua"/>
          <w:sz w:val="22"/>
          <w:szCs w:val="22"/>
        </w:rPr>
        <w:t xml:space="preserve"> </w:t>
      </w:r>
      <w:r w:rsidR="005270B2" w:rsidRPr="00D27522">
        <w:rPr>
          <w:rFonts w:ascii="Book Antiqua" w:hAnsi="Book Antiqua"/>
          <w:sz w:val="22"/>
          <w:szCs w:val="22"/>
        </w:rPr>
        <w:t>not been limited to Law Reform Commission enquiries</w:t>
      </w:r>
      <w:r w:rsidR="00A44757" w:rsidRPr="00D27522">
        <w:rPr>
          <w:rFonts w:ascii="Book Antiqua" w:hAnsi="Book Antiqua"/>
          <w:sz w:val="22"/>
          <w:szCs w:val="22"/>
        </w:rPr>
        <w:t xml:space="preserve"> and reports.</w:t>
      </w:r>
      <w:r w:rsidR="005270B2" w:rsidRPr="00D27522">
        <w:rPr>
          <w:rFonts w:ascii="Book Antiqua" w:hAnsi="Book Antiqua"/>
          <w:sz w:val="22"/>
          <w:szCs w:val="22"/>
        </w:rPr>
        <w:t xml:space="preserve"> </w:t>
      </w:r>
      <w:r w:rsidR="00A44757" w:rsidRPr="00D27522">
        <w:rPr>
          <w:rFonts w:ascii="Book Antiqua" w:hAnsi="Book Antiqua"/>
          <w:sz w:val="22"/>
          <w:szCs w:val="22"/>
        </w:rPr>
        <w:t>It is now</w:t>
      </w:r>
      <w:r w:rsidR="005270B2" w:rsidRPr="00D27522">
        <w:rPr>
          <w:rFonts w:ascii="Book Antiqua" w:hAnsi="Book Antiqua"/>
          <w:sz w:val="22"/>
          <w:szCs w:val="22"/>
        </w:rPr>
        <w:t xml:space="preserve"> to be</w:t>
      </w:r>
      <w:r w:rsidR="00A66833" w:rsidRPr="00D27522">
        <w:rPr>
          <w:rFonts w:ascii="Book Antiqua" w:hAnsi="Book Antiqua"/>
          <w:sz w:val="22"/>
          <w:szCs w:val="22"/>
        </w:rPr>
        <w:t xml:space="preserve"> </w:t>
      </w:r>
      <w:r w:rsidR="00B83E7E" w:rsidRPr="00D27522">
        <w:rPr>
          <w:rFonts w:ascii="Book Antiqua" w:hAnsi="Book Antiqua"/>
          <w:sz w:val="22"/>
          <w:szCs w:val="22"/>
        </w:rPr>
        <w:t>seen</w:t>
      </w:r>
      <w:r w:rsidR="00A66833" w:rsidRPr="00D27522">
        <w:rPr>
          <w:rFonts w:ascii="Book Antiqua" w:hAnsi="Book Antiqua"/>
          <w:sz w:val="22"/>
          <w:szCs w:val="22"/>
        </w:rPr>
        <w:t xml:space="preserve"> in changes in court practices and procedures – such as those applied by the Commercial Court of the Supreme Court of Victoria </w:t>
      </w:r>
      <w:r w:rsidR="00A44757" w:rsidRPr="00D27522">
        <w:rPr>
          <w:rFonts w:ascii="Book Antiqua" w:hAnsi="Book Antiqua"/>
          <w:sz w:val="22"/>
          <w:szCs w:val="22"/>
        </w:rPr>
        <w:t>with its intensively managed lists</w:t>
      </w:r>
      <w:r w:rsidR="00A66833" w:rsidRPr="00D27522">
        <w:rPr>
          <w:rFonts w:ascii="Book Antiqua" w:hAnsi="Book Antiqua"/>
          <w:sz w:val="22"/>
          <w:szCs w:val="22"/>
        </w:rPr>
        <w:t xml:space="preserve">. </w:t>
      </w:r>
    </w:p>
    <w:p w:rsidR="005270B2" w:rsidRPr="00D27522" w:rsidRDefault="005270B2" w:rsidP="00A66833">
      <w:pPr>
        <w:spacing w:line="360" w:lineRule="auto"/>
        <w:jc w:val="both"/>
        <w:rPr>
          <w:rFonts w:ascii="Book Antiqua" w:hAnsi="Book Antiqua"/>
          <w:sz w:val="22"/>
          <w:szCs w:val="22"/>
        </w:rPr>
      </w:pPr>
    </w:p>
    <w:p w:rsidR="00CE2D14" w:rsidRPr="00D27522" w:rsidRDefault="005270B2" w:rsidP="00A66833">
      <w:pPr>
        <w:spacing w:line="360" w:lineRule="auto"/>
        <w:jc w:val="both"/>
        <w:rPr>
          <w:rFonts w:ascii="Book Antiqua" w:hAnsi="Book Antiqua"/>
          <w:sz w:val="22"/>
          <w:szCs w:val="22"/>
        </w:rPr>
      </w:pPr>
      <w:r w:rsidRPr="00D27522">
        <w:rPr>
          <w:rFonts w:ascii="Book Antiqua" w:hAnsi="Book Antiqua"/>
          <w:sz w:val="22"/>
          <w:szCs w:val="22"/>
        </w:rPr>
        <w:t xml:space="preserve">In </w:t>
      </w:r>
      <w:r w:rsidRPr="00D27522">
        <w:rPr>
          <w:rFonts w:ascii="Book Antiqua" w:hAnsi="Book Antiqua"/>
          <w:i/>
          <w:sz w:val="22"/>
          <w:szCs w:val="22"/>
        </w:rPr>
        <w:t>A Team Diamond Headquarters Pty Ltd v Main Road Property Group Pty Ltd &amp; ors</w:t>
      </w:r>
      <w:r w:rsidR="00CE2D14" w:rsidRPr="00D27522">
        <w:rPr>
          <w:rFonts w:ascii="Book Antiqua" w:hAnsi="Book Antiqua"/>
          <w:sz w:val="22"/>
          <w:szCs w:val="22"/>
        </w:rPr>
        <w:t>,</w:t>
      </w:r>
      <w:r w:rsidR="00CE2D14" w:rsidRPr="00D27522">
        <w:rPr>
          <w:rStyle w:val="FootnoteReference"/>
          <w:rFonts w:ascii="Book Antiqua" w:hAnsi="Book Antiqua"/>
          <w:sz w:val="22"/>
          <w:szCs w:val="22"/>
        </w:rPr>
        <w:footnoteReference w:id="20"/>
      </w:r>
      <w:r w:rsidR="00CE2D14" w:rsidRPr="00D27522">
        <w:rPr>
          <w:rFonts w:ascii="Book Antiqua" w:hAnsi="Book Antiqua"/>
          <w:sz w:val="22"/>
          <w:szCs w:val="22"/>
        </w:rPr>
        <w:t xml:space="preserve"> Redlich JA and B</w:t>
      </w:r>
      <w:r w:rsidR="00E53A36" w:rsidRPr="00D27522">
        <w:rPr>
          <w:rFonts w:ascii="Book Antiqua" w:hAnsi="Book Antiqua"/>
          <w:sz w:val="22"/>
          <w:szCs w:val="22"/>
        </w:rPr>
        <w:t>e</w:t>
      </w:r>
      <w:r w:rsidR="00CE2D14" w:rsidRPr="00D27522">
        <w:rPr>
          <w:rFonts w:ascii="Book Antiqua" w:hAnsi="Book Antiqua"/>
          <w:sz w:val="22"/>
          <w:szCs w:val="22"/>
        </w:rPr>
        <w:t>ach AJA (as he then was) discussed the changing nature of civil litigation and the manner in which such change – together with changes in community attitudes and expectations – has necessitated a reconsideration of the importance given to some of the dutie</w:t>
      </w:r>
      <w:r w:rsidR="00E53A36" w:rsidRPr="00D27522">
        <w:rPr>
          <w:rFonts w:ascii="Book Antiqua" w:hAnsi="Book Antiqua"/>
          <w:sz w:val="22"/>
          <w:szCs w:val="22"/>
        </w:rPr>
        <w:t>s that a practitioner owes the C</w:t>
      </w:r>
      <w:r w:rsidR="00CE2D14" w:rsidRPr="00D27522">
        <w:rPr>
          <w:rFonts w:ascii="Book Antiqua" w:hAnsi="Book Antiqua"/>
          <w:sz w:val="22"/>
          <w:szCs w:val="22"/>
        </w:rPr>
        <w:t>ourt. Their Honours said:</w:t>
      </w:r>
      <w:r w:rsidR="00917731" w:rsidRPr="00D27522">
        <w:rPr>
          <w:rStyle w:val="FootnoteReference"/>
          <w:rFonts w:ascii="Book Antiqua" w:hAnsi="Book Antiqua"/>
          <w:sz w:val="22"/>
          <w:szCs w:val="22"/>
        </w:rPr>
        <w:footnoteReference w:id="21"/>
      </w:r>
    </w:p>
    <w:p w:rsidR="00CE2D14" w:rsidRPr="00D27522" w:rsidRDefault="00CE2D14" w:rsidP="00A66833">
      <w:pPr>
        <w:spacing w:line="360" w:lineRule="auto"/>
        <w:jc w:val="both"/>
        <w:rPr>
          <w:rFonts w:ascii="Book Antiqua" w:hAnsi="Book Antiqua"/>
          <w:sz w:val="22"/>
          <w:szCs w:val="22"/>
        </w:rPr>
      </w:pPr>
    </w:p>
    <w:p w:rsidR="00D100DD" w:rsidRPr="00D27522" w:rsidRDefault="00CE2D14" w:rsidP="00E511AF">
      <w:pPr>
        <w:ind w:left="1440" w:right="720"/>
        <w:jc w:val="both"/>
        <w:rPr>
          <w:rFonts w:ascii="Book Antiqua" w:hAnsi="Book Antiqua"/>
          <w:sz w:val="20"/>
          <w:szCs w:val="20"/>
        </w:rPr>
      </w:pPr>
      <w:r w:rsidRPr="00D27522">
        <w:rPr>
          <w:rFonts w:ascii="Book Antiqua" w:hAnsi="Book Antiqua"/>
          <w:sz w:val="20"/>
          <w:szCs w:val="20"/>
        </w:rPr>
        <w:t>“There is a significant public interest in the timely resolution of disputes and the most effic</w:t>
      </w:r>
      <w:r w:rsidR="004F2492">
        <w:rPr>
          <w:rFonts w:ascii="Book Antiqua" w:hAnsi="Book Antiqua"/>
          <w:sz w:val="20"/>
          <w:szCs w:val="20"/>
        </w:rPr>
        <w:t>ient utilis</w:t>
      </w:r>
      <w:r w:rsidRPr="00D27522">
        <w:rPr>
          <w:rFonts w:ascii="Book Antiqua" w:hAnsi="Book Antiqua"/>
          <w:sz w:val="20"/>
          <w:szCs w:val="20"/>
        </w:rPr>
        <w:t>ation of scarce court resources. We doubt whether the legal representatives of the applicants, as officers of the Court, gave any sufficient consideration in preparing or presenting their case as to how they might best assist the Court in the use of its limited resources. Because of the complexity and increased length of litigation in this age, the obligation which rest upon legal practitioners to give the courts such assistance has become increasingly important. Practitioners must ensure that the course chosen in the interests of the client is compatible with this overarching duty. It is a responsibility which should be at the forefront of every practitioner’s considerations throughout the pre-trial and trial process. Without such assistance from the legal profession, the courts are unlikely to succeed in their endeavour to administer justice in a timely and efficient manner.”</w:t>
      </w:r>
    </w:p>
    <w:p w:rsidR="008F5942" w:rsidRPr="00D27522" w:rsidRDefault="008F5942" w:rsidP="00A66833">
      <w:pPr>
        <w:spacing w:line="360" w:lineRule="auto"/>
        <w:jc w:val="both"/>
        <w:rPr>
          <w:rFonts w:ascii="Book Antiqua" w:hAnsi="Book Antiqua"/>
          <w:sz w:val="22"/>
          <w:szCs w:val="22"/>
        </w:rPr>
      </w:pPr>
    </w:p>
    <w:p w:rsidR="00A66833" w:rsidRPr="00D27522" w:rsidRDefault="008F5942" w:rsidP="00A66833">
      <w:pPr>
        <w:spacing w:line="360" w:lineRule="auto"/>
        <w:jc w:val="both"/>
        <w:rPr>
          <w:rFonts w:ascii="Book Antiqua" w:hAnsi="Book Antiqua"/>
          <w:sz w:val="22"/>
          <w:szCs w:val="22"/>
        </w:rPr>
      </w:pPr>
      <w:r w:rsidRPr="00D27522">
        <w:rPr>
          <w:rFonts w:ascii="Book Antiqua" w:hAnsi="Book Antiqua"/>
          <w:sz w:val="22"/>
          <w:szCs w:val="22"/>
        </w:rPr>
        <w:t>The importance of ensuring that proceedings are conducted in a timely a</w:t>
      </w:r>
      <w:r w:rsidR="00B83E7E" w:rsidRPr="00D27522">
        <w:rPr>
          <w:rFonts w:ascii="Book Antiqua" w:hAnsi="Book Antiqua"/>
          <w:sz w:val="22"/>
          <w:szCs w:val="22"/>
        </w:rPr>
        <w:t>nd efficient manner was emphasi</w:t>
      </w:r>
      <w:r w:rsidRPr="00D27522">
        <w:rPr>
          <w:rFonts w:ascii="Book Antiqua" w:hAnsi="Book Antiqua"/>
          <w:sz w:val="22"/>
          <w:szCs w:val="22"/>
        </w:rPr>
        <w:t>sed by t</w:t>
      </w:r>
      <w:r w:rsidR="00A66833" w:rsidRPr="00D27522">
        <w:rPr>
          <w:rFonts w:ascii="Book Antiqua" w:hAnsi="Book Antiqua"/>
          <w:sz w:val="22"/>
          <w:szCs w:val="22"/>
        </w:rPr>
        <w:t xml:space="preserve">he High Court of Australia in </w:t>
      </w:r>
      <w:r w:rsidR="00A66833" w:rsidRPr="00D27522">
        <w:rPr>
          <w:rFonts w:ascii="Book Antiqua" w:hAnsi="Book Antiqua"/>
          <w:i/>
          <w:sz w:val="22"/>
          <w:szCs w:val="22"/>
        </w:rPr>
        <w:t>Aon Risk Services v Australian National University</w:t>
      </w:r>
      <w:r w:rsidR="00AE3D12">
        <w:rPr>
          <w:rFonts w:ascii="Book Antiqua" w:hAnsi="Book Antiqua"/>
          <w:i/>
          <w:sz w:val="22"/>
          <w:szCs w:val="22"/>
        </w:rPr>
        <w:t>.</w:t>
      </w:r>
      <w:r w:rsidR="00BE01BE" w:rsidRPr="00D27522">
        <w:rPr>
          <w:rStyle w:val="FootnoteReference"/>
          <w:rFonts w:ascii="Book Antiqua" w:hAnsi="Book Antiqua"/>
          <w:i/>
          <w:sz w:val="22"/>
          <w:szCs w:val="22"/>
        </w:rPr>
        <w:footnoteReference w:id="22"/>
      </w:r>
      <w:r w:rsidR="00A66833" w:rsidRPr="00D27522">
        <w:rPr>
          <w:rFonts w:ascii="Book Antiqua" w:hAnsi="Book Antiqua"/>
          <w:sz w:val="22"/>
          <w:szCs w:val="22"/>
        </w:rPr>
        <w:t xml:space="preserve"> </w:t>
      </w:r>
      <w:r w:rsidRPr="00D27522">
        <w:rPr>
          <w:rFonts w:ascii="Book Antiqua" w:hAnsi="Book Antiqua"/>
          <w:sz w:val="22"/>
          <w:szCs w:val="22"/>
        </w:rPr>
        <w:t xml:space="preserve">In </w:t>
      </w:r>
      <w:r w:rsidRPr="00D27522">
        <w:rPr>
          <w:rFonts w:ascii="Book Antiqua" w:hAnsi="Book Antiqua"/>
          <w:i/>
          <w:sz w:val="22"/>
          <w:szCs w:val="22"/>
        </w:rPr>
        <w:t>Aon</w:t>
      </w:r>
      <w:r w:rsidRPr="00D27522">
        <w:rPr>
          <w:rFonts w:ascii="Book Antiqua" w:hAnsi="Book Antiqua"/>
          <w:sz w:val="22"/>
          <w:szCs w:val="22"/>
        </w:rPr>
        <w:t>, the Court heard an appeal from the Court of Appeal of the Supreme Court of the Australian Cap</w:t>
      </w:r>
      <w:r w:rsidR="00BE01BE" w:rsidRPr="00D27522">
        <w:rPr>
          <w:rFonts w:ascii="Book Antiqua" w:hAnsi="Book Antiqua"/>
          <w:sz w:val="22"/>
          <w:szCs w:val="22"/>
        </w:rPr>
        <w:t xml:space="preserve">ital Territory, where it was </w:t>
      </w:r>
      <w:r w:rsidR="00A66833" w:rsidRPr="00D27522">
        <w:rPr>
          <w:rFonts w:ascii="Book Antiqua" w:hAnsi="Book Antiqua"/>
          <w:sz w:val="22"/>
          <w:szCs w:val="22"/>
        </w:rPr>
        <w:t>said</w:t>
      </w:r>
      <w:r w:rsidR="00BE01BE" w:rsidRPr="00D27522">
        <w:rPr>
          <w:rFonts w:ascii="Book Antiqua" w:hAnsi="Book Antiqua"/>
          <w:sz w:val="22"/>
          <w:szCs w:val="22"/>
        </w:rPr>
        <w:t xml:space="preserve"> that case management considerations, including the availability of court resources</w:t>
      </w:r>
      <w:r w:rsidR="00B83E7E" w:rsidRPr="00D27522">
        <w:rPr>
          <w:rFonts w:ascii="Book Antiqua" w:hAnsi="Book Antiqua"/>
          <w:sz w:val="22"/>
          <w:szCs w:val="22"/>
        </w:rPr>
        <w:t>,</w:t>
      </w:r>
      <w:r w:rsidR="00BE01BE" w:rsidRPr="00D27522">
        <w:rPr>
          <w:rFonts w:ascii="Book Antiqua" w:hAnsi="Book Antiqua"/>
          <w:sz w:val="22"/>
          <w:szCs w:val="22"/>
        </w:rPr>
        <w:t xml:space="preserve"> were not irrelevant, but that the paramount consideration was </w:t>
      </w:r>
      <w:r w:rsidR="00B83E7E" w:rsidRPr="00D27522">
        <w:rPr>
          <w:rFonts w:ascii="Book Antiqua" w:hAnsi="Book Antiqua"/>
          <w:sz w:val="22"/>
          <w:szCs w:val="22"/>
        </w:rPr>
        <w:t xml:space="preserve">that </w:t>
      </w:r>
      <w:r w:rsidR="00BE01BE" w:rsidRPr="00D27522">
        <w:rPr>
          <w:rFonts w:ascii="Book Antiqua" w:hAnsi="Book Antiqua"/>
          <w:sz w:val="22"/>
          <w:szCs w:val="22"/>
        </w:rPr>
        <w:t>justice between the parties</w:t>
      </w:r>
      <w:r w:rsidR="00B83E7E" w:rsidRPr="00D27522">
        <w:rPr>
          <w:rFonts w:ascii="Book Antiqua" w:hAnsi="Book Antiqua"/>
          <w:sz w:val="22"/>
          <w:szCs w:val="22"/>
        </w:rPr>
        <w:t xml:space="preserve"> had been done</w:t>
      </w:r>
      <w:r w:rsidR="00BE01BE" w:rsidRPr="00D27522">
        <w:rPr>
          <w:rFonts w:ascii="Book Antiqua" w:hAnsi="Book Antiqua"/>
          <w:sz w:val="22"/>
          <w:szCs w:val="22"/>
        </w:rPr>
        <w:t>.</w:t>
      </w:r>
      <w:r w:rsidR="00A66833" w:rsidRPr="00D27522">
        <w:rPr>
          <w:rStyle w:val="FootnoteReference"/>
          <w:rFonts w:ascii="Book Antiqua" w:hAnsi="Book Antiqua"/>
          <w:sz w:val="22"/>
          <w:szCs w:val="22"/>
        </w:rPr>
        <w:footnoteReference w:id="23"/>
      </w:r>
    </w:p>
    <w:p w:rsidR="00BE01BE" w:rsidRPr="00D27522" w:rsidRDefault="00BE01BE" w:rsidP="00A66833">
      <w:pPr>
        <w:rPr>
          <w:rFonts w:ascii="Book Antiqua" w:hAnsi="Book Antiqua"/>
          <w:sz w:val="22"/>
          <w:szCs w:val="22"/>
        </w:rPr>
      </w:pPr>
    </w:p>
    <w:p w:rsidR="00BE01BE" w:rsidRPr="00D27522" w:rsidRDefault="00B83E7E" w:rsidP="00917731">
      <w:pPr>
        <w:spacing w:line="360" w:lineRule="auto"/>
        <w:rPr>
          <w:rFonts w:ascii="Book Antiqua" w:hAnsi="Book Antiqua"/>
          <w:sz w:val="22"/>
          <w:szCs w:val="22"/>
        </w:rPr>
      </w:pPr>
      <w:r w:rsidRPr="00D27522">
        <w:rPr>
          <w:rFonts w:ascii="Book Antiqua" w:hAnsi="Book Antiqua"/>
          <w:sz w:val="22"/>
          <w:szCs w:val="22"/>
        </w:rPr>
        <w:t>Chief Justice French, in handing down a judgment</w:t>
      </w:r>
      <w:r w:rsidR="00AC5031" w:rsidRPr="00D27522">
        <w:rPr>
          <w:rFonts w:ascii="Book Antiqua" w:hAnsi="Book Antiqua"/>
          <w:sz w:val="22"/>
          <w:szCs w:val="22"/>
        </w:rPr>
        <w:t xml:space="preserve"> separate</w:t>
      </w:r>
      <w:r w:rsidRPr="00D27522">
        <w:rPr>
          <w:rFonts w:ascii="Book Antiqua" w:hAnsi="Book Antiqua"/>
          <w:sz w:val="22"/>
          <w:szCs w:val="22"/>
        </w:rPr>
        <w:t xml:space="preserve"> from the plurality, </w:t>
      </w:r>
      <w:r w:rsidR="00AC5031" w:rsidRPr="00D27522">
        <w:rPr>
          <w:rFonts w:ascii="Book Antiqua" w:hAnsi="Book Antiqua"/>
          <w:sz w:val="22"/>
          <w:szCs w:val="22"/>
        </w:rPr>
        <w:t>provided</w:t>
      </w:r>
      <w:r w:rsidRPr="00D27522">
        <w:rPr>
          <w:rFonts w:ascii="Book Antiqua" w:hAnsi="Book Antiqua"/>
          <w:sz w:val="22"/>
          <w:szCs w:val="22"/>
        </w:rPr>
        <w:t xml:space="preserve"> a detailed discussion of the changing nature of litigation in th</w:t>
      </w:r>
      <w:r w:rsidR="00AC5031" w:rsidRPr="00D27522">
        <w:rPr>
          <w:rFonts w:ascii="Book Antiqua" w:hAnsi="Book Antiqua"/>
          <w:sz w:val="22"/>
          <w:szCs w:val="22"/>
        </w:rPr>
        <w:t>is</w:t>
      </w:r>
      <w:r w:rsidRPr="00D27522">
        <w:rPr>
          <w:rFonts w:ascii="Book Antiqua" w:hAnsi="Book Antiqua"/>
          <w:sz w:val="22"/>
          <w:szCs w:val="22"/>
        </w:rPr>
        <w:t xml:space="preserve"> country</w:t>
      </w:r>
      <w:r w:rsidR="00AC5031" w:rsidRPr="00D27522">
        <w:rPr>
          <w:rFonts w:ascii="Book Antiqua" w:hAnsi="Book Antiqua"/>
          <w:sz w:val="22"/>
          <w:szCs w:val="22"/>
        </w:rPr>
        <w:t>.</w:t>
      </w:r>
      <w:r w:rsidRPr="00D27522">
        <w:rPr>
          <w:rFonts w:ascii="Book Antiqua" w:hAnsi="Book Antiqua"/>
          <w:sz w:val="22"/>
          <w:szCs w:val="22"/>
        </w:rPr>
        <w:t xml:space="preserve"> </w:t>
      </w:r>
      <w:r w:rsidR="00AC5031" w:rsidRPr="00D27522">
        <w:rPr>
          <w:rFonts w:ascii="Book Antiqua" w:hAnsi="Book Antiqua"/>
          <w:sz w:val="22"/>
          <w:szCs w:val="22"/>
        </w:rPr>
        <w:t>P</w:t>
      </w:r>
      <w:r w:rsidR="005E6142" w:rsidRPr="00D27522">
        <w:rPr>
          <w:rFonts w:ascii="Book Antiqua" w:hAnsi="Book Antiqua"/>
          <w:sz w:val="22"/>
          <w:szCs w:val="22"/>
        </w:rPr>
        <w:t>articular</w:t>
      </w:r>
      <w:r w:rsidR="00AC5031" w:rsidRPr="00D27522">
        <w:rPr>
          <w:rFonts w:ascii="Book Antiqua" w:hAnsi="Book Antiqua"/>
          <w:sz w:val="22"/>
          <w:szCs w:val="22"/>
        </w:rPr>
        <w:t xml:space="preserve"> consideration was given</w:t>
      </w:r>
      <w:r w:rsidR="00DF63A6" w:rsidRPr="00D27522">
        <w:rPr>
          <w:rFonts w:ascii="Book Antiqua" w:hAnsi="Book Antiqua"/>
          <w:sz w:val="22"/>
          <w:szCs w:val="22"/>
        </w:rPr>
        <w:t xml:space="preserve"> to</w:t>
      </w:r>
      <w:r w:rsidRPr="00D27522">
        <w:rPr>
          <w:rFonts w:ascii="Book Antiqua" w:hAnsi="Book Antiqua"/>
          <w:sz w:val="22"/>
          <w:szCs w:val="22"/>
        </w:rPr>
        <w:t xml:space="preserve"> </w:t>
      </w:r>
      <w:r w:rsidR="00A44757" w:rsidRPr="00D27522">
        <w:rPr>
          <w:rFonts w:ascii="Book Antiqua" w:hAnsi="Book Antiqua"/>
          <w:sz w:val="22"/>
          <w:szCs w:val="22"/>
        </w:rPr>
        <w:t xml:space="preserve">the </w:t>
      </w:r>
      <w:r w:rsidRPr="00D27522">
        <w:rPr>
          <w:rFonts w:ascii="Book Antiqua" w:hAnsi="Book Antiqua"/>
          <w:sz w:val="22"/>
          <w:szCs w:val="22"/>
        </w:rPr>
        <w:t xml:space="preserve">way in which </w:t>
      </w:r>
      <w:r w:rsidR="00A44757" w:rsidRPr="00D27522">
        <w:rPr>
          <w:rFonts w:ascii="Book Antiqua" w:hAnsi="Book Antiqua"/>
          <w:sz w:val="22"/>
          <w:szCs w:val="22"/>
        </w:rPr>
        <w:t xml:space="preserve">this </w:t>
      </w:r>
      <w:r w:rsidRPr="00D27522">
        <w:rPr>
          <w:rFonts w:ascii="Book Antiqua" w:hAnsi="Book Antiqua"/>
          <w:sz w:val="22"/>
          <w:szCs w:val="22"/>
        </w:rPr>
        <w:t>change ha</w:t>
      </w:r>
      <w:r w:rsidR="00DF63A6" w:rsidRPr="00D27522">
        <w:rPr>
          <w:rFonts w:ascii="Book Antiqua" w:hAnsi="Book Antiqua"/>
          <w:sz w:val="22"/>
          <w:szCs w:val="22"/>
        </w:rPr>
        <w:t>s</w:t>
      </w:r>
      <w:r w:rsidR="005E6142" w:rsidRPr="00D27522">
        <w:rPr>
          <w:rFonts w:ascii="Book Antiqua" w:hAnsi="Book Antiqua"/>
          <w:sz w:val="22"/>
          <w:szCs w:val="22"/>
        </w:rPr>
        <w:t xml:space="preserve"> both </w:t>
      </w:r>
      <w:r w:rsidR="00DF63A6" w:rsidRPr="00D27522">
        <w:rPr>
          <w:rFonts w:ascii="Book Antiqua" w:hAnsi="Book Antiqua"/>
          <w:sz w:val="22"/>
          <w:szCs w:val="22"/>
        </w:rPr>
        <w:t xml:space="preserve">articulated and emphasised </w:t>
      </w:r>
      <w:r w:rsidR="005E6142" w:rsidRPr="00D27522">
        <w:rPr>
          <w:rFonts w:ascii="Book Antiqua" w:hAnsi="Book Antiqua"/>
          <w:sz w:val="22"/>
          <w:szCs w:val="22"/>
        </w:rPr>
        <w:t xml:space="preserve">the duties that a practitioner has to use court resources in a proper manner as well as increased the </w:t>
      </w:r>
      <w:r w:rsidR="00DF63A6" w:rsidRPr="00D27522">
        <w:rPr>
          <w:rFonts w:ascii="Book Antiqua" w:hAnsi="Book Antiqua"/>
          <w:sz w:val="22"/>
          <w:szCs w:val="22"/>
        </w:rPr>
        <w:t xml:space="preserve">importance </w:t>
      </w:r>
      <w:r w:rsidR="005E6142" w:rsidRPr="00D27522">
        <w:rPr>
          <w:rFonts w:ascii="Book Antiqua" w:hAnsi="Book Antiqua"/>
          <w:sz w:val="22"/>
          <w:szCs w:val="22"/>
        </w:rPr>
        <w:t>that the courts place on strong case management principles.</w:t>
      </w:r>
      <w:r w:rsidRPr="00D27522">
        <w:rPr>
          <w:rFonts w:ascii="Book Antiqua" w:hAnsi="Book Antiqua"/>
          <w:sz w:val="22"/>
          <w:szCs w:val="22"/>
        </w:rPr>
        <w:t xml:space="preserve"> </w:t>
      </w:r>
      <w:r w:rsidR="005E6142" w:rsidRPr="00D27522">
        <w:rPr>
          <w:rFonts w:ascii="Book Antiqua" w:hAnsi="Book Antiqua"/>
          <w:sz w:val="22"/>
          <w:szCs w:val="22"/>
        </w:rPr>
        <w:t>His Honour</w:t>
      </w:r>
      <w:r w:rsidR="00BE01BE" w:rsidRPr="00D27522">
        <w:rPr>
          <w:rFonts w:ascii="Book Antiqua" w:hAnsi="Book Antiqua"/>
          <w:sz w:val="22"/>
          <w:szCs w:val="22"/>
        </w:rPr>
        <w:t xml:space="preserve"> said</w:t>
      </w:r>
      <w:r w:rsidRPr="00D27522">
        <w:rPr>
          <w:rFonts w:ascii="Book Antiqua" w:hAnsi="Book Antiqua"/>
          <w:sz w:val="22"/>
          <w:szCs w:val="22"/>
        </w:rPr>
        <w:t>:</w:t>
      </w:r>
      <w:r w:rsidR="00917731" w:rsidRPr="00D27522">
        <w:rPr>
          <w:rStyle w:val="FootnoteReference"/>
          <w:rFonts w:ascii="Book Antiqua" w:hAnsi="Book Antiqua"/>
          <w:sz w:val="22"/>
          <w:szCs w:val="22"/>
        </w:rPr>
        <w:footnoteReference w:id="24"/>
      </w:r>
    </w:p>
    <w:p w:rsidR="00BE01BE" w:rsidRPr="00D27522" w:rsidRDefault="00BE01BE" w:rsidP="00A66833">
      <w:pPr>
        <w:rPr>
          <w:sz w:val="22"/>
          <w:szCs w:val="22"/>
        </w:rPr>
      </w:pPr>
    </w:p>
    <w:p w:rsidR="00BE01BE" w:rsidRPr="00D27522" w:rsidRDefault="00BE01BE" w:rsidP="00E511AF">
      <w:pPr>
        <w:ind w:leftChars="590" w:left="1416" w:rightChars="273" w:right="655"/>
        <w:jc w:val="both"/>
        <w:rPr>
          <w:rFonts w:ascii="Book Antiqua" w:hAnsi="Book Antiqua"/>
          <w:sz w:val="20"/>
          <w:szCs w:val="20"/>
          <w:lang w:val="en-AU"/>
        </w:rPr>
      </w:pPr>
      <w:r w:rsidRPr="00D27522">
        <w:rPr>
          <w:rFonts w:ascii="Book Antiqua" w:hAnsi="Book Antiqua"/>
          <w:sz w:val="20"/>
          <w:szCs w:val="20"/>
          <w:lang w:val="en-AU"/>
        </w:rPr>
        <w:t xml:space="preserve">“The </w:t>
      </w:r>
      <w:r w:rsidRPr="00D27522">
        <w:rPr>
          <w:rFonts w:ascii="Book Antiqua" w:hAnsi="Book Antiqua"/>
          <w:iCs/>
          <w:sz w:val="20"/>
          <w:szCs w:val="20"/>
          <w:lang w:val="en-AU"/>
        </w:rPr>
        <w:t xml:space="preserve">Judicature Act </w:t>
      </w:r>
      <w:r w:rsidRPr="00D27522">
        <w:rPr>
          <w:rFonts w:ascii="Book Antiqua" w:hAnsi="Book Antiqua"/>
          <w:sz w:val="20"/>
          <w:szCs w:val="20"/>
          <w:lang w:val="en-AU"/>
        </w:rPr>
        <w:t xml:space="preserve">Rules and their Australian offspring did not in terms make reference to the public interest in the expeditious dispatch of the business of the courts. The way in which proceedings progress has been left to the parties. This may be seen as an aspect of the adversarial system which is a dominant part of the common law inheritance of </w:t>
      </w:r>
      <w:r w:rsidRPr="00D27522">
        <w:rPr>
          <w:rFonts w:ascii="Book Antiqua" w:hAnsi="Book Antiqua"/>
          <w:iCs/>
          <w:sz w:val="20"/>
          <w:szCs w:val="20"/>
          <w:lang w:val="en-AU"/>
        </w:rPr>
        <w:t xml:space="preserve">Judicature Act </w:t>
      </w:r>
      <w:r w:rsidRPr="00D27522">
        <w:rPr>
          <w:rFonts w:ascii="Book Antiqua" w:hAnsi="Book Antiqua"/>
          <w:sz w:val="20"/>
          <w:szCs w:val="20"/>
          <w:lang w:val="en-AU"/>
        </w:rPr>
        <w:t>procedure.</w:t>
      </w:r>
      <w:r w:rsidR="00AE3D12">
        <w:rPr>
          <w:rStyle w:val="FootnoteReference"/>
          <w:rFonts w:ascii="Book Antiqua" w:hAnsi="Book Antiqua"/>
          <w:sz w:val="20"/>
          <w:szCs w:val="20"/>
          <w:lang w:val="en-AU"/>
        </w:rPr>
        <w:footnoteReference w:id="25"/>
      </w:r>
      <w:r w:rsidRPr="00D27522">
        <w:rPr>
          <w:rFonts w:ascii="Book Antiqua" w:hAnsi="Book Antiqua"/>
          <w:sz w:val="20"/>
          <w:szCs w:val="20"/>
          <w:lang w:val="en-AU"/>
        </w:rPr>
        <w:t xml:space="preserve"> In this respect, however, the adversarial system has been qualified by changing practices in the courts directed to the reduction of costs and delay and the realisation that the courts are concerned not only with justice between the parties, which remains their priority, but also with the public interest in the proper and efficient use of public resources.” </w:t>
      </w:r>
    </w:p>
    <w:p w:rsidR="00BE01BE" w:rsidRPr="00D27522" w:rsidRDefault="00BE01BE" w:rsidP="00E511AF">
      <w:pPr>
        <w:ind w:leftChars="590" w:left="1416" w:rightChars="273" w:right="655"/>
        <w:rPr>
          <w:sz w:val="20"/>
          <w:szCs w:val="20"/>
        </w:rPr>
      </w:pPr>
    </w:p>
    <w:p w:rsidR="00BE01BE" w:rsidRPr="00D27522" w:rsidRDefault="00BE01BE" w:rsidP="00E511AF">
      <w:pPr>
        <w:ind w:leftChars="590" w:left="1416" w:rightChars="273" w:right="655"/>
        <w:rPr>
          <w:rFonts w:ascii="Book Antiqua" w:hAnsi="Book Antiqua"/>
          <w:sz w:val="20"/>
          <w:szCs w:val="20"/>
        </w:rPr>
      </w:pPr>
    </w:p>
    <w:p w:rsidR="00BE01BE" w:rsidRPr="00D27522" w:rsidRDefault="00BE01BE" w:rsidP="00E511AF">
      <w:pPr>
        <w:ind w:leftChars="590" w:left="1416" w:rightChars="273" w:right="655"/>
        <w:jc w:val="both"/>
        <w:rPr>
          <w:rFonts w:ascii="Book Antiqua" w:hAnsi="Book Antiqua"/>
          <w:sz w:val="20"/>
          <w:szCs w:val="20"/>
        </w:rPr>
      </w:pPr>
      <w:r w:rsidRPr="00D27522">
        <w:rPr>
          <w:rFonts w:ascii="Book Antiqua" w:hAnsi="Book Antiqua"/>
          <w:sz w:val="20"/>
          <w:szCs w:val="20"/>
        </w:rPr>
        <w:t xml:space="preserve">The ACT Rules, like their precursors, confer the discretion to give leave to amend and impose the duty to make amendments for the purpose of deciding the real issues in, and avoiding multiplicity of, proceedings. The discretion is exercised in the context of the common law adversarial system as qualified by changing practice. But that is not a system which today permits disregard of undue delay. Undue delay can undermine confidence in the rule of law. To that extent its avoidance, based upon a proper regard for the interests of the parties, transcends those interests. Another factor which relates to the interests of the parties but transcends them is the waste of public resources and the inefficiency occasioned by the need to revisit interlocutory processes, vacate trial dates, or adjourn trials either because of non-compliance with court timetables or, as in this case, because of a late and deliberate tactical change by one party in the direction of its conduct of the litigation. These are matters which, even under the Australian versions of the </w:t>
      </w:r>
      <w:r w:rsidRPr="00D27522">
        <w:rPr>
          <w:rFonts w:ascii="Book Antiqua" w:hAnsi="Book Antiqua"/>
          <w:i/>
          <w:iCs/>
          <w:sz w:val="20"/>
          <w:szCs w:val="20"/>
        </w:rPr>
        <w:t xml:space="preserve">Judicature Act </w:t>
      </w:r>
      <w:r w:rsidRPr="00D27522">
        <w:rPr>
          <w:rFonts w:ascii="Book Antiqua" w:hAnsi="Book Antiqua"/>
          <w:sz w:val="20"/>
          <w:szCs w:val="20"/>
        </w:rPr>
        <w:t>system, unaffected by the sequelae of the civil procedure reforms of 1998 in the United Kingdom, are to be regarded as both relevant and mandatory considerations in the exercise of the discretion conferred by rules such as r 502.</w:t>
      </w:r>
      <w:r w:rsidR="005604A9" w:rsidRPr="00D27522">
        <w:rPr>
          <w:rFonts w:ascii="Book Antiqua" w:hAnsi="Book Antiqua"/>
          <w:sz w:val="20"/>
          <w:szCs w:val="20"/>
        </w:rPr>
        <w:t>”</w:t>
      </w:r>
      <w:r w:rsidRPr="00D27522">
        <w:rPr>
          <w:rFonts w:ascii="Book Antiqua" w:hAnsi="Book Antiqua"/>
          <w:sz w:val="20"/>
          <w:szCs w:val="20"/>
        </w:rPr>
        <w:t xml:space="preserve"> </w:t>
      </w:r>
    </w:p>
    <w:p w:rsidR="005604A9" w:rsidRPr="00D27522" w:rsidRDefault="005604A9" w:rsidP="00A66833">
      <w:pPr>
        <w:rPr>
          <w:rFonts w:ascii="Book Antiqua" w:hAnsi="Book Antiqua"/>
          <w:sz w:val="22"/>
          <w:szCs w:val="22"/>
        </w:rPr>
      </w:pPr>
    </w:p>
    <w:p w:rsidR="005604A9" w:rsidRPr="00D27522" w:rsidRDefault="00910DBF" w:rsidP="00917731">
      <w:pPr>
        <w:spacing w:line="360" w:lineRule="auto"/>
        <w:rPr>
          <w:rFonts w:ascii="Book Antiqua" w:hAnsi="Book Antiqua"/>
          <w:sz w:val="22"/>
          <w:szCs w:val="22"/>
        </w:rPr>
      </w:pPr>
      <w:r w:rsidRPr="00D27522">
        <w:rPr>
          <w:rFonts w:ascii="Book Antiqua" w:hAnsi="Book Antiqua"/>
          <w:sz w:val="22"/>
          <w:szCs w:val="22"/>
        </w:rPr>
        <w:t xml:space="preserve">His Honour went on to consider a number of other decisions in which the principles of case management were at the forefront of the </w:t>
      </w:r>
      <w:r w:rsidR="00DF63A6" w:rsidRPr="00D27522">
        <w:rPr>
          <w:rFonts w:ascii="Book Antiqua" w:hAnsi="Book Antiqua"/>
          <w:sz w:val="22"/>
          <w:szCs w:val="22"/>
        </w:rPr>
        <w:t>j</w:t>
      </w:r>
      <w:r w:rsidRPr="00D27522">
        <w:rPr>
          <w:rFonts w:ascii="Book Antiqua" w:hAnsi="Book Antiqua"/>
          <w:sz w:val="22"/>
          <w:szCs w:val="22"/>
        </w:rPr>
        <w:t>udges’ minds</w:t>
      </w:r>
      <w:r w:rsidR="00917731" w:rsidRPr="00D27522">
        <w:rPr>
          <w:rFonts w:ascii="Book Antiqua" w:hAnsi="Book Antiqua"/>
          <w:sz w:val="22"/>
          <w:szCs w:val="22"/>
        </w:rPr>
        <w:t>:</w:t>
      </w:r>
      <w:r w:rsidR="00917731" w:rsidRPr="00D27522">
        <w:rPr>
          <w:rStyle w:val="FootnoteReference"/>
          <w:rFonts w:ascii="Book Antiqua" w:hAnsi="Book Antiqua"/>
          <w:sz w:val="22"/>
          <w:szCs w:val="22"/>
        </w:rPr>
        <w:footnoteReference w:id="26"/>
      </w:r>
      <w:r w:rsidRPr="00D27522">
        <w:rPr>
          <w:rFonts w:ascii="Book Antiqua" w:hAnsi="Book Antiqua"/>
          <w:sz w:val="22"/>
          <w:szCs w:val="22"/>
        </w:rPr>
        <w:t xml:space="preserve"> </w:t>
      </w:r>
    </w:p>
    <w:p w:rsidR="005604A9" w:rsidRPr="00D27522" w:rsidRDefault="005604A9" w:rsidP="005604A9">
      <w:pPr>
        <w:rPr>
          <w:sz w:val="22"/>
          <w:szCs w:val="22"/>
        </w:rPr>
      </w:pPr>
    </w:p>
    <w:p w:rsidR="00757076" w:rsidRPr="00D27522" w:rsidRDefault="00AB317D" w:rsidP="00262C86">
      <w:pPr>
        <w:ind w:left="1418" w:right="656"/>
        <w:jc w:val="both"/>
        <w:rPr>
          <w:rFonts w:ascii="Book Antiqua" w:hAnsi="Book Antiqua"/>
          <w:sz w:val="20"/>
          <w:szCs w:val="20"/>
        </w:rPr>
      </w:pPr>
      <w:r w:rsidRPr="00D27522">
        <w:rPr>
          <w:rFonts w:ascii="Book Antiqua" w:hAnsi="Book Antiqua"/>
          <w:sz w:val="20"/>
          <w:szCs w:val="20"/>
        </w:rPr>
        <w:t>“</w:t>
      </w:r>
      <w:r w:rsidR="005604A9" w:rsidRPr="00D27522">
        <w:rPr>
          <w:rFonts w:ascii="Book Antiqua" w:hAnsi="Book Antiqua"/>
          <w:sz w:val="20"/>
          <w:szCs w:val="20"/>
        </w:rPr>
        <w:t xml:space="preserve">Recognition of the public interest in the administration of civil justice procedures in Australia and the United Kingdom pre-dates the Woolf Report and its attendant reforms. In </w:t>
      </w:r>
      <w:r w:rsidR="005604A9" w:rsidRPr="00D27522">
        <w:rPr>
          <w:rFonts w:ascii="Book Antiqua" w:hAnsi="Book Antiqua"/>
          <w:i/>
          <w:iCs/>
          <w:sz w:val="20"/>
          <w:szCs w:val="20"/>
        </w:rPr>
        <w:t>Dawson v Deputy Commissioner of Taxation</w:t>
      </w:r>
      <w:r w:rsidR="005604A9" w:rsidRPr="00D27522">
        <w:rPr>
          <w:rFonts w:ascii="Book Antiqua" w:hAnsi="Book Antiqua"/>
          <w:sz w:val="20"/>
          <w:szCs w:val="20"/>
        </w:rPr>
        <w:t>,</w:t>
      </w:r>
      <w:r w:rsidR="004F2492">
        <w:rPr>
          <w:rStyle w:val="FootnoteReference"/>
          <w:rFonts w:ascii="Book Antiqua" w:hAnsi="Book Antiqua"/>
          <w:sz w:val="20"/>
          <w:szCs w:val="20"/>
        </w:rPr>
        <w:footnoteReference w:id="27"/>
      </w:r>
      <w:r w:rsidR="005604A9" w:rsidRPr="00D27522">
        <w:rPr>
          <w:rFonts w:ascii="Book Antiqua" w:hAnsi="Book Antiqua"/>
          <w:sz w:val="20"/>
          <w:szCs w:val="20"/>
        </w:rPr>
        <w:t xml:space="preserve"> King CJ acknowledged the responsibility of judges to ensure, "so far as possible and subject to overriding considerations of justice", that the limited resources which the State commits to the administration of justice are not wasted by the failure of parties to adhere to trial dates of which they have had proper notice. In a late amendment case considered by the House of Lords in 1987,</w:t>
      </w:r>
      <w:r w:rsidR="004F2492">
        <w:rPr>
          <w:rStyle w:val="FootnoteReference"/>
          <w:rFonts w:ascii="Book Antiqua" w:hAnsi="Book Antiqua"/>
          <w:sz w:val="20"/>
          <w:szCs w:val="20"/>
        </w:rPr>
        <w:footnoteReference w:id="28"/>
      </w:r>
      <w:r w:rsidR="005604A9" w:rsidRPr="00D27522">
        <w:rPr>
          <w:rFonts w:ascii="Book Antiqua" w:hAnsi="Book Antiqua"/>
          <w:sz w:val="20"/>
          <w:szCs w:val="20"/>
        </w:rPr>
        <w:t xml:space="preserve"> there was a marked departure from the approach of Bowen LJ in </w:t>
      </w:r>
      <w:r w:rsidR="005604A9" w:rsidRPr="00D27522">
        <w:rPr>
          <w:rFonts w:ascii="Book Antiqua" w:hAnsi="Book Antiqua"/>
          <w:i/>
          <w:iCs/>
          <w:sz w:val="20"/>
          <w:szCs w:val="20"/>
        </w:rPr>
        <w:t>Cropper v Smith</w:t>
      </w:r>
      <w:r w:rsidR="005604A9" w:rsidRPr="00D27522">
        <w:rPr>
          <w:rFonts w:ascii="Book Antiqua" w:hAnsi="Book Antiqua"/>
          <w:sz w:val="20"/>
          <w:szCs w:val="20"/>
        </w:rPr>
        <w:t>. Lord Griffiths required that judges considering amendments weigh in the balance:</w:t>
      </w:r>
      <w:r w:rsidR="004F2492">
        <w:rPr>
          <w:rStyle w:val="FootnoteReference"/>
          <w:rFonts w:ascii="Book Antiqua" w:hAnsi="Book Antiqua"/>
          <w:sz w:val="20"/>
          <w:szCs w:val="20"/>
        </w:rPr>
        <w:footnoteReference w:id="29"/>
      </w:r>
      <w:r w:rsidR="005604A9" w:rsidRPr="00D27522">
        <w:rPr>
          <w:rFonts w:ascii="Book Antiqua" w:hAnsi="Book Antiqua"/>
          <w:sz w:val="20"/>
          <w:szCs w:val="20"/>
        </w:rPr>
        <w:t xml:space="preserve"> </w:t>
      </w:r>
    </w:p>
    <w:p w:rsidR="00757076" w:rsidRPr="00D27522" w:rsidRDefault="00757076" w:rsidP="00757076">
      <w:pPr>
        <w:ind w:left="567" w:right="515"/>
        <w:jc w:val="both"/>
        <w:rPr>
          <w:rFonts w:ascii="Book Antiqua" w:hAnsi="Book Antiqua"/>
          <w:sz w:val="20"/>
          <w:szCs w:val="20"/>
        </w:rPr>
      </w:pPr>
    </w:p>
    <w:p w:rsidR="005604A9" w:rsidRPr="00D27522" w:rsidRDefault="005604A9" w:rsidP="00E511AF">
      <w:pPr>
        <w:ind w:left="1985" w:right="1223"/>
        <w:jc w:val="both"/>
        <w:rPr>
          <w:rFonts w:ascii="Book Antiqua" w:hAnsi="Book Antiqua"/>
          <w:sz w:val="20"/>
          <w:szCs w:val="20"/>
        </w:rPr>
      </w:pPr>
      <w:r w:rsidRPr="00D27522">
        <w:rPr>
          <w:rFonts w:ascii="Book Antiqua" w:hAnsi="Book Antiqua"/>
          <w:sz w:val="20"/>
          <w:szCs w:val="20"/>
        </w:rPr>
        <w:t xml:space="preserve">"the pressure on the courts caused by the great increase in litigation and the consequent necessity that, in the interests of the whole community, legal business should be conducted efficiently". </w:t>
      </w:r>
    </w:p>
    <w:p w:rsidR="00757076" w:rsidRPr="00D27522" w:rsidRDefault="00757076" w:rsidP="00757076">
      <w:pPr>
        <w:ind w:left="567" w:right="515"/>
        <w:jc w:val="both"/>
        <w:rPr>
          <w:rFonts w:ascii="Book Antiqua" w:hAnsi="Book Antiqua"/>
          <w:sz w:val="20"/>
          <w:szCs w:val="20"/>
        </w:rPr>
      </w:pPr>
    </w:p>
    <w:p w:rsidR="005604A9" w:rsidRPr="00D27522" w:rsidRDefault="005604A9" w:rsidP="00E511AF">
      <w:pPr>
        <w:ind w:left="1418" w:right="656"/>
        <w:jc w:val="both"/>
        <w:rPr>
          <w:rFonts w:ascii="Book Antiqua" w:hAnsi="Book Antiqua"/>
          <w:sz w:val="20"/>
          <w:szCs w:val="20"/>
        </w:rPr>
      </w:pPr>
      <w:r w:rsidRPr="00D27522">
        <w:rPr>
          <w:rFonts w:ascii="Book Antiqua" w:hAnsi="Book Antiqua"/>
          <w:sz w:val="20"/>
          <w:szCs w:val="20"/>
        </w:rPr>
        <w:t>The same indulgence could not be shown towards the negligent conduct of litigation as might have been possible in a "more leisured age".</w:t>
      </w:r>
      <w:r w:rsidR="004F2492">
        <w:rPr>
          <w:rStyle w:val="FootnoteReference"/>
          <w:rFonts w:ascii="Book Antiqua" w:hAnsi="Book Antiqua"/>
          <w:sz w:val="20"/>
          <w:szCs w:val="20"/>
        </w:rPr>
        <w:footnoteReference w:id="30"/>
      </w:r>
      <w:r w:rsidRPr="00D27522">
        <w:rPr>
          <w:rFonts w:ascii="Book Antiqua" w:hAnsi="Book Antiqua"/>
          <w:sz w:val="20"/>
          <w:szCs w:val="20"/>
        </w:rPr>
        <w:t xml:space="preserve"> That approach was followed by Sheppard J in a revenue case heard in the Federal Court.</w:t>
      </w:r>
      <w:r w:rsidR="004F2492">
        <w:rPr>
          <w:rStyle w:val="FootnoteReference"/>
          <w:rFonts w:ascii="Book Antiqua" w:hAnsi="Book Antiqua"/>
          <w:sz w:val="20"/>
          <w:szCs w:val="20"/>
        </w:rPr>
        <w:footnoteReference w:id="31"/>
      </w:r>
      <w:r w:rsidRPr="00D27522">
        <w:rPr>
          <w:rFonts w:ascii="Book Antiqua" w:hAnsi="Book Antiqua"/>
          <w:sz w:val="20"/>
          <w:szCs w:val="20"/>
        </w:rPr>
        <w:t xml:space="preserve"> And in the New South Wales Court of Appeal in </w:t>
      </w:r>
      <w:r w:rsidRPr="00D27522">
        <w:rPr>
          <w:rFonts w:ascii="Book Antiqua" w:hAnsi="Book Antiqua"/>
          <w:i/>
          <w:iCs/>
          <w:sz w:val="20"/>
          <w:szCs w:val="20"/>
        </w:rPr>
        <w:t>GSA Industries</w:t>
      </w:r>
      <w:r w:rsidRPr="00D27522">
        <w:rPr>
          <w:rFonts w:ascii="Book Antiqua" w:hAnsi="Book Antiqua"/>
          <w:sz w:val="20"/>
          <w:szCs w:val="20"/>
        </w:rPr>
        <w:t>, Samuels JA said that:</w:t>
      </w:r>
      <w:r w:rsidR="00F9597C">
        <w:rPr>
          <w:rStyle w:val="FootnoteReference"/>
          <w:rFonts w:ascii="Book Antiqua" w:hAnsi="Book Antiqua"/>
          <w:sz w:val="20"/>
          <w:szCs w:val="20"/>
        </w:rPr>
        <w:footnoteReference w:id="32"/>
      </w:r>
      <w:r w:rsidRPr="00D27522">
        <w:rPr>
          <w:rFonts w:ascii="Book Antiqua" w:hAnsi="Book Antiqua"/>
          <w:sz w:val="20"/>
          <w:szCs w:val="20"/>
        </w:rPr>
        <w:t xml:space="preserve"> </w:t>
      </w:r>
    </w:p>
    <w:p w:rsidR="00757076" w:rsidRPr="00D27522" w:rsidRDefault="00757076" w:rsidP="00757076">
      <w:pPr>
        <w:ind w:left="567" w:right="515"/>
        <w:jc w:val="both"/>
        <w:rPr>
          <w:rFonts w:ascii="Book Antiqua" w:hAnsi="Book Antiqua"/>
          <w:sz w:val="20"/>
          <w:szCs w:val="20"/>
        </w:rPr>
      </w:pPr>
    </w:p>
    <w:p w:rsidR="005604A9" w:rsidRPr="00D27522" w:rsidRDefault="005604A9" w:rsidP="00262C86">
      <w:pPr>
        <w:ind w:left="1985" w:right="1223"/>
        <w:jc w:val="both"/>
        <w:rPr>
          <w:rFonts w:ascii="Book Antiqua" w:hAnsi="Book Antiqua"/>
          <w:sz w:val="20"/>
          <w:szCs w:val="20"/>
        </w:rPr>
      </w:pPr>
      <w:r w:rsidRPr="00D27522">
        <w:rPr>
          <w:rFonts w:ascii="Book Antiqua" w:hAnsi="Book Antiqua"/>
          <w:sz w:val="20"/>
          <w:szCs w:val="20"/>
        </w:rPr>
        <w:t xml:space="preserve">"the emollient effect of an order for costs as a panacea may now be consigned to the Aladdin's cave which Lord Reid rejected as one of the fairy tales in which we no longer believe." </w:t>
      </w:r>
    </w:p>
    <w:p w:rsidR="00757076" w:rsidRPr="00785375" w:rsidRDefault="00757076" w:rsidP="00757076">
      <w:pPr>
        <w:ind w:left="567" w:right="515"/>
        <w:jc w:val="both"/>
        <w:rPr>
          <w:rFonts w:ascii="Book Antiqua" w:hAnsi="Book Antiqua"/>
          <w:sz w:val="22"/>
          <w:szCs w:val="22"/>
        </w:rPr>
      </w:pPr>
    </w:p>
    <w:p w:rsidR="005604A9" w:rsidRPr="00D27522" w:rsidRDefault="005604A9" w:rsidP="005604A9">
      <w:pPr>
        <w:rPr>
          <w:sz w:val="22"/>
          <w:szCs w:val="22"/>
        </w:rPr>
      </w:pPr>
    </w:p>
    <w:p w:rsidR="00BE01BE" w:rsidRPr="00D27522" w:rsidRDefault="00910DBF" w:rsidP="00917731">
      <w:pPr>
        <w:spacing w:line="360" w:lineRule="auto"/>
        <w:rPr>
          <w:rFonts w:ascii="Book Antiqua" w:hAnsi="Book Antiqua"/>
          <w:sz w:val="22"/>
          <w:szCs w:val="22"/>
        </w:rPr>
      </w:pPr>
      <w:r w:rsidRPr="00D27522">
        <w:rPr>
          <w:rFonts w:ascii="Book Antiqua" w:hAnsi="Book Antiqua"/>
          <w:sz w:val="22"/>
          <w:szCs w:val="22"/>
        </w:rPr>
        <w:t xml:space="preserve">In a separate judgment, </w:t>
      </w:r>
      <w:r w:rsidR="005E6142" w:rsidRPr="00D27522">
        <w:rPr>
          <w:rFonts w:ascii="Book Antiqua" w:hAnsi="Book Antiqua"/>
          <w:sz w:val="22"/>
          <w:szCs w:val="22"/>
        </w:rPr>
        <w:t>the plurality similarly emphasised the need to recognis</w:t>
      </w:r>
      <w:r w:rsidRPr="00D27522">
        <w:rPr>
          <w:rFonts w:ascii="Book Antiqua" w:hAnsi="Book Antiqua"/>
          <w:sz w:val="22"/>
          <w:szCs w:val="22"/>
        </w:rPr>
        <w:t>e the importanc</w:t>
      </w:r>
      <w:r w:rsidR="00917731" w:rsidRPr="00D27522">
        <w:rPr>
          <w:rFonts w:ascii="Book Antiqua" w:hAnsi="Book Antiqua"/>
          <w:sz w:val="22"/>
          <w:szCs w:val="22"/>
        </w:rPr>
        <w:t xml:space="preserve">e of case management principles. In laying down these principles the High Court refused to adhere to its approach to these issues in </w:t>
      </w:r>
      <w:r w:rsidR="00917731" w:rsidRPr="00AE3D12">
        <w:rPr>
          <w:rFonts w:ascii="Book Antiqua" w:hAnsi="Book Antiqua"/>
          <w:i/>
          <w:sz w:val="22"/>
          <w:szCs w:val="22"/>
        </w:rPr>
        <w:t>Queensland v</w:t>
      </w:r>
      <w:r w:rsidR="00917731" w:rsidRPr="00D27522">
        <w:rPr>
          <w:rFonts w:ascii="Book Antiqua" w:hAnsi="Book Antiqua"/>
          <w:sz w:val="22"/>
          <w:szCs w:val="22"/>
        </w:rPr>
        <w:t xml:space="preserve"> </w:t>
      </w:r>
      <w:r w:rsidR="00917731" w:rsidRPr="00D27522">
        <w:rPr>
          <w:rFonts w:ascii="Book Antiqua" w:hAnsi="Book Antiqua"/>
          <w:i/>
          <w:sz w:val="22"/>
          <w:szCs w:val="22"/>
        </w:rPr>
        <w:t>J L Holdings Pty Ltd</w:t>
      </w:r>
      <w:r w:rsidR="00917731" w:rsidRPr="00D27522">
        <w:rPr>
          <w:rFonts w:ascii="Book Antiqua" w:hAnsi="Book Antiqua"/>
          <w:sz w:val="22"/>
          <w:szCs w:val="22"/>
        </w:rPr>
        <w:t>.</w:t>
      </w:r>
      <w:r w:rsidR="00917731" w:rsidRPr="00D27522">
        <w:rPr>
          <w:rStyle w:val="FootnoteReference"/>
          <w:rFonts w:ascii="Book Antiqua" w:hAnsi="Book Antiqua"/>
          <w:sz w:val="22"/>
          <w:szCs w:val="22"/>
        </w:rPr>
        <w:footnoteReference w:id="33"/>
      </w:r>
      <w:r w:rsidR="00917731" w:rsidRPr="00D27522">
        <w:rPr>
          <w:rFonts w:ascii="Book Antiqua" w:hAnsi="Book Antiqua"/>
          <w:sz w:val="22"/>
          <w:szCs w:val="22"/>
        </w:rPr>
        <w:t xml:space="preserve"> </w:t>
      </w:r>
      <w:r w:rsidRPr="00D27522">
        <w:rPr>
          <w:rFonts w:ascii="Book Antiqua" w:hAnsi="Book Antiqua"/>
          <w:sz w:val="22"/>
          <w:szCs w:val="22"/>
        </w:rPr>
        <w:t xml:space="preserve"> stating that:</w:t>
      </w:r>
    </w:p>
    <w:p w:rsidR="00A66833" w:rsidRPr="00D27522" w:rsidRDefault="00A66833" w:rsidP="00A66833">
      <w:pPr>
        <w:rPr>
          <w:sz w:val="22"/>
          <w:szCs w:val="22"/>
        </w:rPr>
      </w:pPr>
    </w:p>
    <w:p w:rsidR="00A66833" w:rsidRPr="00D27522" w:rsidRDefault="00262C86" w:rsidP="00E511AF">
      <w:pPr>
        <w:pStyle w:val="BodyText"/>
        <w:ind w:left="1440" w:right="720"/>
        <w:rPr>
          <w:rFonts w:ascii="Book Antiqua" w:hAnsi="Book Antiqua"/>
          <w:sz w:val="20"/>
          <w:szCs w:val="20"/>
        </w:rPr>
      </w:pPr>
      <w:r w:rsidRPr="00D27522">
        <w:rPr>
          <w:rFonts w:ascii="Book Antiqua" w:hAnsi="Book Antiqua"/>
          <w:sz w:val="20"/>
          <w:szCs w:val="20"/>
        </w:rPr>
        <w:t>“</w:t>
      </w:r>
      <w:r w:rsidR="00A66833" w:rsidRPr="00D27522">
        <w:rPr>
          <w:rFonts w:ascii="Book Antiqua" w:hAnsi="Book Antiqua"/>
          <w:sz w:val="20"/>
          <w:szCs w:val="20"/>
        </w:rPr>
        <w:t xml:space="preserve">An application for leave to amend a pleading should not be approached on the basis that a party is entitled to raise an arguable claim, subject to payment of costs by way of compensation. There is no such entitlement. All matters relevant to the exercise of the power to permit amendment should be weighed. The fact of substantial delay and wasted costs, the concerns of case management, will assume importance on an application for leave to amend. Statements in </w:t>
      </w:r>
      <w:r w:rsidR="00A66833" w:rsidRPr="00D27522">
        <w:rPr>
          <w:rFonts w:ascii="Book Antiqua" w:hAnsi="Book Antiqua"/>
          <w:i/>
          <w:sz w:val="20"/>
          <w:szCs w:val="20"/>
        </w:rPr>
        <w:t>JL Holdings</w:t>
      </w:r>
      <w:r w:rsidR="00A66833" w:rsidRPr="00D27522">
        <w:rPr>
          <w:rFonts w:ascii="Book Antiqua" w:hAnsi="Book Antiqua"/>
          <w:sz w:val="20"/>
          <w:szCs w:val="20"/>
        </w:rPr>
        <w:t xml:space="preserve"> which suggest only a limited application for case management do not rest upon a principle which has been carefully worked out in a significant succession of cases.</w:t>
      </w:r>
      <w:r w:rsidR="00A66833" w:rsidRPr="00D27522">
        <w:rPr>
          <w:rStyle w:val="FootnoteReference"/>
          <w:rFonts w:ascii="Book Antiqua" w:hAnsi="Book Antiqua"/>
          <w:sz w:val="20"/>
          <w:szCs w:val="20"/>
        </w:rPr>
        <w:footnoteReference w:id="34"/>
      </w:r>
      <w:r w:rsidR="00A66833" w:rsidRPr="00D27522">
        <w:rPr>
          <w:rFonts w:ascii="Book Antiqua" w:hAnsi="Book Antiqua"/>
          <w:sz w:val="20"/>
          <w:szCs w:val="20"/>
        </w:rPr>
        <w:t xml:space="preserve"> On the contrary, the statements are not consonant with this Court's earlier recognition of the effects of delay, not only upon the parties to the proceedings in question, but upon the court and other litigants. Such statements should not be applied in the future.</w:t>
      </w:r>
      <w:r w:rsidR="00917731" w:rsidRPr="00D27522">
        <w:rPr>
          <w:rFonts w:ascii="Book Antiqua" w:hAnsi="Book Antiqua"/>
          <w:sz w:val="20"/>
          <w:szCs w:val="20"/>
        </w:rPr>
        <w:t>”</w:t>
      </w:r>
    </w:p>
    <w:p w:rsidR="00917731" w:rsidRPr="00785375" w:rsidRDefault="00917731" w:rsidP="00917731">
      <w:pPr>
        <w:pStyle w:val="BodyText"/>
        <w:spacing w:line="360" w:lineRule="auto"/>
        <w:rPr>
          <w:rFonts w:ascii="Book Antiqua" w:hAnsi="Book Antiqua"/>
          <w:szCs w:val="22"/>
        </w:rPr>
      </w:pPr>
    </w:p>
    <w:p w:rsidR="00616A4C" w:rsidRPr="00D27522" w:rsidRDefault="00616A4C" w:rsidP="00917731">
      <w:pPr>
        <w:spacing w:line="360" w:lineRule="auto"/>
        <w:rPr>
          <w:rFonts w:ascii="Book Antiqua" w:hAnsi="Book Antiqua"/>
          <w:sz w:val="22"/>
          <w:szCs w:val="22"/>
        </w:rPr>
      </w:pPr>
      <w:r w:rsidRPr="00D27522">
        <w:rPr>
          <w:rFonts w:ascii="Book Antiqua" w:hAnsi="Book Antiqua"/>
          <w:sz w:val="22"/>
          <w:szCs w:val="22"/>
        </w:rPr>
        <w:t>The</w:t>
      </w:r>
      <w:r w:rsidR="000E6CFF" w:rsidRPr="00D27522">
        <w:rPr>
          <w:rFonts w:ascii="Book Antiqua" w:hAnsi="Book Antiqua"/>
          <w:sz w:val="22"/>
          <w:szCs w:val="22"/>
        </w:rPr>
        <w:t xml:space="preserve"> High Court’s decision in</w:t>
      </w:r>
      <w:r w:rsidRPr="00D27522">
        <w:rPr>
          <w:rFonts w:ascii="Book Antiqua" w:hAnsi="Book Antiqua"/>
          <w:sz w:val="22"/>
          <w:szCs w:val="22"/>
        </w:rPr>
        <w:t xml:space="preserve"> </w:t>
      </w:r>
      <w:r w:rsidRPr="00D27522">
        <w:rPr>
          <w:rFonts w:ascii="Book Antiqua" w:hAnsi="Book Antiqua"/>
          <w:i/>
          <w:sz w:val="22"/>
          <w:szCs w:val="22"/>
        </w:rPr>
        <w:t>Aon</w:t>
      </w:r>
      <w:r w:rsidRPr="00D27522">
        <w:rPr>
          <w:rFonts w:ascii="Book Antiqua" w:hAnsi="Book Antiqua"/>
          <w:sz w:val="22"/>
          <w:szCs w:val="22"/>
        </w:rPr>
        <w:t xml:space="preserve"> was not the first time that the Court’s decision in </w:t>
      </w:r>
    </w:p>
    <w:p w:rsidR="000E6CFF" w:rsidRPr="00D27522" w:rsidRDefault="000E6CFF" w:rsidP="00917731">
      <w:pPr>
        <w:spacing w:line="360" w:lineRule="auto"/>
        <w:rPr>
          <w:rFonts w:ascii="Book Antiqua" w:hAnsi="Book Antiqua"/>
          <w:sz w:val="20"/>
          <w:szCs w:val="20"/>
        </w:rPr>
      </w:pPr>
      <w:r w:rsidRPr="00D27522">
        <w:rPr>
          <w:rFonts w:ascii="Book Antiqua" w:hAnsi="Book Antiqua"/>
          <w:sz w:val="22"/>
          <w:szCs w:val="22"/>
        </w:rPr>
        <w:t xml:space="preserve"> </w:t>
      </w:r>
      <w:r w:rsidRPr="00D27522">
        <w:rPr>
          <w:rFonts w:ascii="Book Antiqua" w:hAnsi="Book Antiqua"/>
          <w:i/>
          <w:sz w:val="22"/>
          <w:szCs w:val="22"/>
        </w:rPr>
        <w:t>J L Holdings</w:t>
      </w:r>
      <w:r w:rsidRPr="00D27522">
        <w:rPr>
          <w:rFonts w:ascii="Book Antiqua" w:hAnsi="Book Antiqua"/>
          <w:sz w:val="22"/>
          <w:szCs w:val="22"/>
        </w:rPr>
        <w:t xml:space="preserve"> had </w:t>
      </w:r>
      <w:r w:rsidR="00616A4C" w:rsidRPr="00D27522">
        <w:rPr>
          <w:rFonts w:ascii="Book Antiqua" w:hAnsi="Book Antiqua"/>
          <w:sz w:val="22"/>
          <w:szCs w:val="22"/>
        </w:rPr>
        <w:t>received</w:t>
      </w:r>
      <w:r w:rsidRPr="00D27522">
        <w:rPr>
          <w:rFonts w:ascii="Book Antiqua" w:hAnsi="Book Antiqua"/>
          <w:sz w:val="22"/>
          <w:szCs w:val="22"/>
        </w:rPr>
        <w:t xml:space="preserve"> criticism</w:t>
      </w:r>
      <w:r w:rsidR="00616A4C" w:rsidRPr="00D27522">
        <w:rPr>
          <w:rFonts w:ascii="Book Antiqua" w:hAnsi="Book Antiqua"/>
          <w:sz w:val="22"/>
          <w:szCs w:val="22"/>
        </w:rPr>
        <w:t xml:space="preserve"> for the way in which that decision had focused too heavily on the individual rights of the litigants at the expense of some of the wider duties parties to litigation owe to the courts and to the public.</w:t>
      </w:r>
      <w:r w:rsidRPr="00D27522">
        <w:rPr>
          <w:rFonts w:ascii="Book Antiqua" w:hAnsi="Book Antiqua"/>
          <w:sz w:val="22"/>
          <w:szCs w:val="22"/>
        </w:rPr>
        <w:t xml:space="preserve"> Finkelstein J</w:t>
      </w:r>
      <w:r w:rsidR="00616A4C" w:rsidRPr="00D27522">
        <w:rPr>
          <w:rFonts w:ascii="Book Antiqua" w:hAnsi="Book Antiqua"/>
          <w:sz w:val="22"/>
          <w:szCs w:val="22"/>
        </w:rPr>
        <w:t xml:space="preserve"> expressed this concern</w:t>
      </w:r>
      <w:r w:rsidRPr="00D27522">
        <w:rPr>
          <w:rFonts w:ascii="Book Antiqua" w:hAnsi="Book Antiqua"/>
          <w:sz w:val="22"/>
          <w:szCs w:val="22"/>
        </w:rPr>
        <w:t xml:space="preserve"> in </w:t>
      </w:r>
      <w:r w:rsidRPr="00D27522">
        <w:rPr>
          <w:rFonts w:ascii="Book Antiqua" w:hAnsi="Book Antiqua"/>
          <w:i/>
          <w:sz w:val="22"/>
          <w:szCs w:val="22"/>
        </w:rPr>
        <w:t>Black &amp; Decker (Australasia) Pty Ltd v GMCA Pty Ltd</w:t>
      </w:r>
      <w:r w:rsidRPr="00D27522">
        <w:rPr>
          <w:rFonts w:ascii="Book Antiqua" w:hAnsi="Book Antiqua"/>
          <w:sz w:val="22"/>
          <w:szCs w:val="22"/>
        </w:rPr>
        <w:t>:</w:t>
      </w:r>
      <w:r w:rsidR="00616A4C" w:rsidRPr="00D27522">
        <w:rPr>
          <w:rStyle w:val="FootnoteReference"/>
          <w:rFonts w:ascii="Book Antiqua" w:hAnsi="Book Antiqua"/>
          <w:sz w:val="22"/>
          <w:szCs w:val="22"/>
        </w:rPr>
        <w:footnoteReference w:id="35"/>
      </w:r>
      <w:r w:rsidRPr="00D27522">
        <w:rPr>
          <w:rFonts w:ascii="Book Antiqua" w:hAnsi="Book Antiqua"/>
          <w:sz w:val="22"/>
          <w:szCs w:val="22"/>
        </w:rPr>
        <w:br/>
      </w:r>
    </w:p>
    <w:p w:rsidR="000E6CFF" w:rsidRPr="00D27522" w:rsidRDefault="000E6CFF" w:rsidP="00262C86">
      <w:pPr>
        <w:ind w:left="1440" w:right="720"/>
        <w:jc w:val="both"/>
        <w:rPr>
          <w:rFonts w:ascii="Book Antiqua" w:hAnsi="Book Antiqua"/>
          <w:sz w:val="20"/>
          <w:szCs w:val="20"/>
        </w:rPr>
      </w:pPr>
      <w:r w:rsidRPr="00D27522">
        <w:rPr>
          <w:rFonts w:ascii="Book Antiqua" w:hAnsi="Book Antiqua"/>
          <w:sz w:val="20"/>
          <w:szCs w:val="20"/>
        </w:rPr>
        <w:t xml:space="preserve">“The case has, in my view, unfairly hamstrung courts. Almost every day a defaulting party seeks the court’s indulgence to extend time, amend documents or obtain some other allowance (often not for the first, second or third time) and successfully relies on </w:t>
      </w:r>
      <w:r w:rsidR="00616A4C" w:rsidRPr="00D27522">
        <w:rPr>
          <w:rFonts w:ascii="Book Antiqua" w:hAnsi="Book Antiqua"/>
          <w:i/>
          <w:sz w:val="20"/>
          <w:szCs w:val="20"/>
        </w:rPr>
        <w:t>J L H</w:t>
      </w:r>
      <w:r w:rsidRPr="00D27522">
        <w:rPr>
          <w:rFonts w:ascii="Book Antiqua" w:hAnsi="Book Antiqua"/>
          <w:i/>
          <w:sz w:val="20"/>
          <w:szCs w:val="20"/>
        </w:rPr>
        <w:t>oldings</w:t>
      </w:r>
      <w:r w:rsidRPr="00D27522">
        <w:rPr>
          <w:rFonts w:ascii="Book Antiqua" w:hAnsi="Book Antiqua"/>
          <w:sz w:val="20"/>
          <w:szCs w:val="20"/>
        </w:rPr>
        <w:t xml:space="preserve"> to obtain relief. It is time tha</w:t>
      </w:r>
      <w:r w:rsidR="005554F9" w:rsidRPr="00D27522">
        <w:rPr>
          <w:rFonts w:ascii="Book Antiqua" w:hAnsi="Book Antiqua"/>
          <w:sz w:val="20"/>
          <w:szCs w:val="20"/>
        </w:rPr>
        <w:t>t this approach is revisited, es</w:t>
      </w:r>
      <w:r w:rsidRPr="00D27522">
        <w:rPr>
          <w:rFonts w:ascii="Book Antiqua" w:hAnsi="Book Antiqua"/>
          <w:sz w:val="20"/>
          <w:szCs w:val="20"/>
        </w:rPr>
        <w:t xml:space="preserve">pecially where the case involves significant commercial litigation. One of the primary objectives </w:t>
      </w:r>
      <w:r w:rsidR="005554F9" w:rsidRPr="00D27522">
        <w:rPr>
          <w:rFonts w:ascii="Book Antiqua" w:hAnsi="Book Antiqua"/>
          <w:sz w:val="20"/>
          <w:szCs w:val="20"/>
        </w:rPr>
        <w:t>of a commercial court is to bring the litigants’ dispute on for trial as soon as can be reasonably and fairly done. If, in some instances, the preparation of the case if not perfect so be it. A case that is reasonable well prepared is just as likely to be decided correctly as a perfectly prepared case.”</w:t>
      </w:r>
    </w:p>
    <w:p w:rsidR="000E6CFF" w:rsidRPr="00D27522" w:rsidRDefault="000E6CFF" w:rsidP="00A66833">
      <w:pPr>
        <w:spacing w:line="360" w:lineRule="auto"/>
        <w:jc w:val="both"/>
        <w:rPr>
          <w:rFonts w:ascii="Book Antiqua" w:hAnsi="Book Antiqua"/>
          <w:sz w:val="22"/>
          <w:szCs w:val="22"/>
        </w:rPr>
      </w:pPr>
    </w:p>
    <w:p w:rsidR="00371D55" w:rsidRPr="00D27522" w:rsidRDefault="00A66833" w:rsidP="00A66833">
      <w:pPr>
        <w:spacing w:line="360" w:lineRule="auto"/>
        <w:jc w:val="both"/>
        <w:rPr>
          <w:rFonts w:ascii="Book Antiqua" w:hAnsi="Book Antiqua"/>
          <w:sz w:val="22"/>
          <w:szCs w:val="22"/>
        </w:rPr>
      </w:pPr>
      <w:r w:rsidRPr="00D27522">
        <w:rPr>
          <w:rFonts w:ascii="Book Antiqua" w:hAnsi="Book Antiqua"/>
          <w:sz w:val="22"/>
          <w:szCs w:val="22"/>
        </w:rPr>
        <w:t xml:space="preserve">Thus, in </w:t>
      </w:r>
      <w:r w:rsidRPr="00D27522">
        <w:rPr>
          <w:rFonts w:ascii="Book Antiqua" w:hAnsi="Book Antiqua"/>
          <w:i/>
          <w:sz w:val="22"/>
          <w:szCs w:val="22"/>
        </w:rPr>
        <w:t>Aon</w:t>
      </w:r>
      <w:r w:rsidRPr="00D27522">
        <w:rPr>
          <w:rFonts w:ascii="Book Antiqua" w:hAnsi="Book Antiqua"/>
          <w:sz w:val="22"/>
          <w:szCs w:val="22"/>
        </w:rPr>
        <w:t xml:space="preserve">, the High Court reemphasised that it is not sufficient to pursue just procedural outcomes merely by reference to the interests of the parties to the particular proceeding.  The effects that a procedural decision will have on other litigants and on the public’s interest in the efficient use of the Court’s resources must also be taken into account. </w:t>
      </w:r>
    </w:p>
    <w:p w:rsidR="00F84F6D" w:rsidRPr="00D27522" w:rsidRDefault="00F84F6D" w:rsidP="00A66833">
      <w:pPr>
        <w:spacing w:line="360" w:lineRule="auto"/>
        <w:jc w:val="both"/>
        <w:rPr>
          <w:rFonts w:ascii="Book Antiqua" w:hAnsi="Book Antiqua"/>
          <w:sz w:val="22"/>
          <w:szCs w:val="22"/>
        </w:rPr>
      </w:pPr>
    </w:p>
    <w:p w:rsidR="00A66833" w:rsidRPr="00D27522" w:rsidRDefault="00A66833" w:rsidP="00A66833">
      <w:pPr>
        <w:spacing w:line="360" w:lineRule="auto"/>
        <w:jc w:val="both"/>
        <w:rPr>
          <w:rFonts w:ascii="Book Antiqua" w:hAnsi="Book Antiqua"/>
          <w:sz w:val="22"/>
          <w:szCs w:val="22"/>
        </w:rPr>
      </w:pPr>
      <w:r w:rsidRPr="00D27522">
        <w:rPr>
          <w:rFonts w:ascii="Book Antiqua" w:hAnsi="Book Antiqua"/>
          <w:sz w:val="22"/>
          <w:szCs w:val="22"/>
        </w:rPr>
        <w:t>The notion that parties to a proceeding are not entitled to consume an unlimited amount of public resources in pursuit of their own interests seems eminently sensible and reasonable.</w:t>
      </w:r>
      <w:r w:rsidRPr="00D27522">
        <w:rPr>
          <w:rStyle w:val="FootnoteReference"/>
          <w:rFonts w:ascii="Book Antiqua" w:hAnsi="Book Antiqua"/>
          <w:sz w:val="22"/>
          <w:szCs w:val="22"/>
        </w:rPr>
        <w:footnoteReference w:id="36"/>
      </w:r>
      <w:r w:rsidRPr="00D27522">
        <w:rPr>
          <w:rFonts w:ascii="Book Antiqua" w:hAnsi="Book Antiqua"/>
          <w:sz w:val="22"/>
          <w:szCs w:val="22"/>
        </w:rPr>
        <w:t xml:space="preserve"> It might be thought to be curious that this has not been the prevailing sentiment at the highest appellate levels for some time.  Nevertheless, other jurisdictions have experienced the same phenomenon.  In his reflection on the changes in civil litigation in England since the reform of the </w:t>
      </w:r>
      <w:r w:rsidRPr="00D27522">
        <w:rPr>
          <w:rFonts w:ascii="Book Antiqua" w:hAnsi="Book Antiqua"/>
          <w:i/>
          <w:sz w:val="22"/>
          <w:szCs w:val="22"/>
        </w:rPr>
        <w:t>English Civil Procedure Rules</w:t>
      </w:r>
      <w:r w:rsidRPr="00D27522">
        <w:rPr>
          <w:rFonts w:ascii="Book Antiqua" w:hAnsi="Book Antiqua"/>
          <w:sz w:val="22"/>
          <w:szCs w:val="22"/>
        </w:rPr>
        <w:t xml:space="preserve"> </w:t>
      </w:r>
      <w:r w:rsidRPr="00D27522">
        <w:rPr>
          <w:rFonts w:ascii="Book Antiqua" w:hAnsi="Book Antiqua"/>
          <w:i/>
          <w:sz w:val="22"/>
          <w:szCs w:val="22"/>
        </w:rPr>
        <w:t>1998</w:t>
      </w:r>
      <w:r w:rsidRPr="00D27522">
        <w:rPr>
          <w:rFonts w:ascii="Book Antiqua" w:hAnsi="Book Antiqua"/>
          <w:sz w:val="22"/>
          <w:szCs w:val="22"/>
        </w:rPr>
        <w:t xml:space="preserve"> (the “Woolf reforms”</w:t>
      </w:r>
      <w:r w:rsidRPr="00D27522">
        <w:rPr>
          <w:rStyle w:val="FootnoteReference"/>
          <w:rFonts w:ascii="Book Antiqua" w:hAnsi="Book Antiqua"/>
          <w:sz w:val="22"/>
          <w:szCs w:val="22"/>
        </w:rPr>
        <w:footnoteReference w:id="37"/>
      </w:r>
      <w:r w:rsidRPr="00D27522">
        <w:rPr>
          <w:rFonts w:ascii="Book Antiqua" w:hAnsi="Book Antiqua"/>
          <w:sz w:val="22"/>
          <w:szCs w:val="22"/>
        </w:rPr>
        <w:t>), Professor Zuckerman lamented that the benefits that were hoped for in 1998 have not materialised.  He suggested that this is because of the primacy that the courts have continued to place on the rights of parties to pursue their own interests at the expense of other litigants and the public.</w:t>
      </w:r>
      <w:r w:rsidRPr="00D27522">
        <w:rPr>
          <w:rStyle w:val="FootnoteReference"/>
          <w:rFonts w:ascii="Book Antiqua" w:hAnsi="Book Antiqua"/>
          <w:sz w:val="22"/>
          <w:szCs w:val="22"/>
        </w:rPr>
        <w:footnoteReference w:id="38"/>
      </w:r>
      <w:r w:rsidRPr="00D27522">
        <w:rPr>
          <w:rStyle w:val="FootnoteReference"/>
          <w:rFonts w:ascii="Book Antiqua" w:hAnsi="Book Antiqua"/>
          <w:sz w:val="22"/>
          <w:szCs w:val="22"/>
        </w:rPr>
        <w:t xml:space="preserve"> </w:t>
      </w:r>
    </w:p>
    <w:p w:rsidR="00B92710" w:rsidRPr="00D27522" w:rsidRDefault="00B92710" w:rsidP="00A66833">
      <w:pPr>
        <w:spacing w:line="360" w:lineRule="auto"/>
        <w:jc w:val="both"/>
        <w:rPr>
          <w:rFonts w:ascii="Book Antiqua" w:hAnsi="Book Antiqua"/>
          <w:sz w:val="22"/>
          <w:szCs w:val="22"/>
        </w:rPr>
      </w:pPr>
    </w:p>
    <w:p w:rsidR="00A66833" w:rsidRPr="00D27522" w:rsidRDefault="00A66833" w:rsidP="00A66833">
      <w:pPr>
        <w:spacing w:line="360" w:lineRule="auto"/>
        <w:jc w:val="both"/>
        <w:rPr>
          <w:rFonts w:ascii="Book Antiqua" w:hAnsi="Book Antiqua"/>
          <w:sz w:val="22"/>
          <w:szCs w:val="22"/>
        </w:rPr>
      </w:pPr>
      <w:r w:rsidRPr="00D27522">
        <w:rPr>
          <w:rFonts w:ascii="Book Antiqua" w:hAnsi="Book Antiqua"/>
          <w:sz w:val="22"/>
          <w:szCs w:val="22"/>
        </w:rPr>
        <w:t xml:space="preserve">Clearly, the reluctance to accept fully the pre-eminent importance of case management powers is borne out of a principled, but perhaps overzealous, adherence to the belief that a procedural decision should never be allowed to impede the vindication of a substantive right.  In Australia, until </w:t>
      </w:r>
      <w:r w:rsidRPr="00D27522">
        <w:rPr>
          <w:rFonts w:ascii="Book Antiqua" w:hAnsi="Book Antiqua"/>
          <w:i/>
          <w:sz w:val="22"/>
          <w:szCs w:val="22"/>
        </w:rPr>
        <w:t>Aon</w:t>
      </w:r>
      <w:r w:rsidRPr="00D27522">
        <w:rPr>
          <w:rFonts w:ascii="Book Antiqua" w:hAnsi="Book Antiqua"/>
          <w:sz w:val="22"/>
          <w:szCs w:val="22"/>
        </w:rPr>
        <w:t xml:space="preserve">, this belief has arguably, as in England, held too much sway at the highest appellate levels.  As the procedural history of </w:t>
      </w:r>
      <w:r w:rsidRPr="00D27522">
        <w:rPr>
          <w:rFonts w:ascii="Book Antiqua" w:hAnsi="Book Antiqua"/>
          <w:i/>
          <w:sz w:val="22"/>
          <w:szCs w:val="22"/>
        </w:rPr>
        <w:t>Aon</w:t>
      </w:r>
      <w:r w:rsidRPr="00D27522">
        <w:rPr>
          <w:rFonts w:ascii="Book Antiqua" w:hAnsi="Book Antiqua"/>
          <w:sz w:val="22"/>
          <w:szCs w:val="22"/>
        </w:rPr>
        <w:t xml:space="preserve"> demonstrated, it has often been used to justify delay and inefficiency on the part of a litigant – at the expense of other litigants, courts, and the public.  The High Court stated explicitly - and emphasised - that this is no longer accepta</w:t>
      </w:r>
      <w:r w:rsidR="000E64B2">
        <w:rPr>
          <w:rFonts w:ascii="Book Antiqua" w:hAnsi="Book Antiqua"/>
          <w:sz w:val="22"/>
          <w:szCs w:val="22"/>
        </w:rPr>
        <w:t>ble.  The plurality recognised “</w:t>
      </w:r>
      <w:r w:rsidRPr="00D27522">
        <w:rPr>
          <w:rFonts w:ascii="Book Antiqua" w:hAnsi="Book Antiqua"/>
          <w:sz w:val="22"/>
          <w:szCs w:val="22"/>
        </w:rPr>
        <w:t>that delay and costs are undesirable and that delay has deleterious effects, not only upon the party to the proceedings in question, but also to other l</w:t>
      </w:r>
      <w:r w:rsidR="000E64B2">
        <w:rPr>
          <w:rFonts w:ascii="Book Antiqua" w:hAnsi="Book Antiqua"/>
          <w:sz w:val="22"/>
          <w:szCs w:val="22"/>
        </w:rPr>
        <w:t>itigants”</w:t>
      </w:r>
      <w:r w:rsidRPr="00D27522">
        <w:rPr>
          <w:rFonts w:ascii="Book Antiqua" w:hAnsi="Book Antiqua"/>
          <w:sz w:val="22"/>
          <w:szCs w:val="22"/>
        </w:rPr>
        <w:t>.</w:t>
      </w:r>
      <w:r w:rsidRPr="00D27522">
        <w:rPr>
          <w:rStyle w:val="FootnoteReference"/>
          <w:rFonts w:ascii="Book Antiqua" w:hAnsi="Book Antiqua"/>
          <w:sz w:val="22"/>
          <w:szCs w:val="22"/>
        </w:rPr>
        <w:footnoteReference w:id="39"/>
      </w:r>
      <w:r w:rsidR="00616A4C" w:rsidRPr="00D27522">
        <w:rPr>
          <w:rFonts w:ascii="Book Antiqua" w:hAnsi="Book Antiqua"/>
          <w:sz w:val="22"/>
          <w:szCs w:val="22"/>
        </w:rPr>
        <w:t xml:space="preserve"> As we shall see, a number of recent decision</w:t>
      </w:r>
      <w:r w:rsidR="000E64B2">
        <w:rPr>
          <w:rFonts w:ascii="Book Antiqua" w:hAnsi="Book Antiqua"/>
          <w:sz w:val="22"/>
          <w:szCs w:val="22"/>
        </w:rPr>
        <w:t>s</w:t>
      </w:r>
      <w:r w:rsidR="00616A4C" w:rsidRPr="00D27522">
        <w:rPr>
          <w:rFonts w:ascii="Book Antiqua" w:hAnsi="Book Antiqua"/>
          <w:sz w:val="22"/>
          <w:szCs w:val="22"/>
        </w:rPr>
        <w:t xml:space="preserve"> in this State have now firmly entrenched these principles in Victoria’s culture of civil litigation.</w:t>
      </w:r>
    </w:p>
    <w:p w:rsidR="00A66833" w:rsidRPr="00D27522" w:rsidRDefault="00A66833" w:rsidP="001C1BB0">
      <w:pPr>
        <w:spacing w:line="360" w:lineRule="auto"/>
        <w:jc w:val="both"/>
        <w:rPr>
          <w:rFonts w:ascii="Book Antiqua" w:hAnsi="Book Antiqua"/>
          <w:sz w:val="22"/>
          <w:szCs w:val="22"/>
          <w:lang w:val="en-AU"/>
        </w:rPr>
      </w:pPr>
    </w:p>
    <w:p w:rsidR="00D11DBD" w:rsidRDefault="00D11DBD">
      <w:pPr>
        <w:rPr>
          <w:rFonts w:ascii="Book Antiqua" w:hAnsi="Book Antiqua"/>
          <w:b/>
          <w:sz w:val="22"/>
          <w:szCs w:val="22"/>
          <w:u w:val="single"/>
          <w:lang w:val="en-AU"/>
        </w:rPr>
      </w:pPr>
      <w:r>
        <w:rPr>
          <w:rFonts w:ascii="Book Antiqua" w:hAnsi="Book Antiqua"/>
          <w:b/>
          <w:sz w:val="22"/>
          <w:szCs w:val="22"/>
          <w:u w:val="single"/>
          <w:lang w:val="en-AU"/>
        </w:rPr>
        <w:br w:type="page"/>
      </w:r>
    </w:p>
    <w:p w:rsidR="00D540AC" w:rsidRPr="00D11DBD" w:rsidRDefault="005E6142" w:rsidP="001C1BB0">
      <w:pPr>
        <w:spacing w:line="360" w:lineRule="auto"/>
        <w:jc w:val="both"/>
        <w:rPr>
          <w:rFonts w:ascii="Book Antiqua" w:hAnsi="Book Antiqua"/>
          <w:b/>
          <w:u w:val="single"/>
          <w:lang w:val="en-AU"/>
        </w:rPr>
      </w:pPr>
      <w:r w:rsidRPr="00D11DBD">
        <w:rPr>
          <w:rFonts w:ascii="Book Antiqua" w:hAnsi="Book Antiqua"/>
          <w:b/>
          <w:u w:val="single"/>
          <w:lang w:val="en-AU"/>
        </w:rPr>
        <w:t>The Role of the Act in Changing the C</w:t>
      </w:r>
      <w:r w:rsidR="00910DBF" w:rsidRPr="00D11DBD">
        <w:rPr>
          <w:rFonts w:ascii="Book Antiqua" w:hAnsi="Book Antiqua"/>
          <w:b/>
          <w:u w:val="single"/>
          <w:lang w:val="en-AU"/>
        </w:rPr>
        <w:t>ulture</w:t>
      </w:r>
    </w:p>
    <w:p w:rsidR="00910DBF" w:rsidRPr="00D27522" w:rsidRDefault="00910DBF" w:rsidP="001C1BB0">
      <w:pPr>
        <w:spacing w:line="360" w:lineRule="auto"/>
        <w:jc w:val="both"/>
        <w:rPr>
          <w:rFonts w:ascii="Book Antiqua" w:hAnsi="Book Antiqua"/>
          <w:sz w:val="22"/>
          <w:szCs w:val="22"/>
          <w:lang w:val="en-AU"/>
        </w:rPr>
      </w:pPr>
    </w:p>
    <w:p w:rsidR="007852C7" w:rsidRPr="00D27522" w:rsidRDefault="005E6142"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With this increased emphasis o</w:t>
      </w:r>
      <w:r w:rsidR="00E970C1" w:rsidRPr="00D27522">
        <w:rPr>
          <w:rFonts w:ascii="Book Antiqua" w:hAnsi="Book Antiqua"/>
          <w:sz w:val="22"/>
          <w:szCs w:val="22"/>
          <w:lang w:val="en-AU"/>
        </w:rPr>
        <w:t>n case management, the modern judicial task “requires skills and imposes burdens that historically formed no part of the judicial role.”</w:t>
      </w:r>
      <w:r w:rsidR="00E970C1" w:rsidRPr="00D27522">
        <w:rPr>
          <w:rStyle w:val="FootnoteReference"/>
          <w:rFonts w:ascii="Book Antiqua" w:hAnsi="Book Antiqua"/>
          <w:sz w:val="22"/>
          <w:szCs w:val="22"/>
          <w:lang w:val="en-AU"/>
        </w:rPr>
        <w:footnoteReference w:id="40"/>
      </w:r>
      <w:r w:rsidR="00E970C1" w:rsidRPr="00D27522">
        <w:rPr>
          <w:rFonts w:ascii="Book Antiqua" w:hAnsi="Book Antiqua"/>
          <w:sz w:val="22"/>
          <w:szCs w:val="22"/>
          <w:lang w:val="en-AU"/>
        </w:rPr>
        <w:t xml:space="preserve"> While the court’s inherent powers have been mention</w:t>
      </w:r>
      <w:r w:rsidR="00616A4C" w:rsidRPr="00D27522">
        <w:rPr>
          <w:rFonts w:ascii="Book Antiqua" w:hAnsi="Book Antiqua"/>
          <w:sz w:val="22"/>
          <w:szCs w:val="22"/>
          <w:lang w:val="en-AU"/>
        </w:rPr>
        <w:t>ed -</w:t>
      </w:r>
      <w:r w:rsidRPr="00D27522">
        <w:rPr>
          <w:rFonts w:ascii="Book Antiqua" w:hAnsi="Book Antiqua"/>
          <w:sz w:val="22"/>
          <w:szCs w:val="22"/>
          <w:lang w:val="en-AU"/>
        </w:rPr>
        <w:t xml:space="preserve"> and were </w:t>
      </w:r>
      <w:r w:rsidR="00E970C1" w:rsidRPr="00D27522">
        <w:rPr>
          <w:rFonts w:ascii="Book Antiqua" w:hAnsi="Book Antiqua"/>
          <w:sz w:val="22"/>
          <w:szCs w:val="22"/>
          <w:lang w:val="en-AU"/>
        </w:rPr>
        <w:t>prevalent in much of the</w:t>
      </w:r>
      <w:r w:rsidR="007852C7" w:rsidRPr="00D27522">
        <w:rPr>
          <w:rFonts w:ascii="Book Antiqua" w:hAnsi="Book Antiqua"/>
          <w:sz w:val="22"/>
          <w:szCs w:val="22"/>
          <w:lang w:val="en-AU"/>
        </w:rPr>
        <w:t xml:space="preserve"> prece</w:t>
      </w:r>
      <w:r w:rsidR="00E970C1" w:rsidRPr="00D27522">
        <w:rPr>
          <w:rFonts w:ascii="Book Antiqua" w:hAnsi="Book Antiqua"/>
          <w:sz w:val="22"/>
          <w:szCs w:val="22"/>
          <w:lang w:val="en-AU"/>
        </w:rPr>
        <w:t xml:space="preserve">ding </w:t>
      </w:r>
      <w:r w:rsidR="00616A4C" w:rsidRPr="00D27522">
        <w:rPr>
          <w:rFonts w:ascii="Book Antiqua" w:hAnsi="Book Antiqua"/>
          <w:sz w:val="22"/>
          <w:szCs w:val="22"/>
          <w:lang w:val="en-AU"/>
        </w:rPr>
        <w:t>judicial comments -</w:t>
      </w:r>
      <w:r w:rsidR="007852C7" w:rsidRPr="00D27522">
        <w:rPr>
          <w:rFonts w:ascii="Book Antiqua" w:hAnsi="Book Antiqua"/>
          <w:sz w:val="22"/>
          <w:szCs w:val="22"/>
          <w:lang w:val="en-AU"/>
        </w:rPr>
        <w:t xml:space="preserve"> the powerful role that legislation can play in changing cultural habits outside of these inherent powers should not be underestimated. Writing extra-judicially, Chief Justice Black said:</w:t>
      </w:r>
      <w:r w:rsidR="007852C7" w:rsidRPr="00D27522">
        <w:rPr>
          <w:rStyle w:val="FootnoteReference"/>
          <w:rFonts w:ascii="Book Antiqua" w:hAnsi="Book Antiqua"/>
          <w:sz w:val="22"/>
          <w:szCs w:val="22"/>
          <w:lang w:val="en-AU"/>
        </w:rPr>
        <w:footnoteReference w:id="41"/>
      </w:r>
    </w:p>
    <w:p w:rsidR="007852C7" w:rsidRPr="00D27522" w:rsidRDefault="007852C7"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ab/>
      </w:r>
    </w:p>
    <w:p w:rsidR="007852C7" w:rsidRPr="00D27522" w:rsidRDefault="00616A4C" w:rsidP="00E511AF">
      <w:pPr>
        <w:ind w:left="1440" w:right="720"/>
        <w:jc w:val="both"/>
        <w:rPr>
          <w:rFonts w:ascii="Book Antiqua" w:hAnsi="Book Antiqua"/>
          <w:sz w:val="20"/>
          <w:szCs w:val="20"/>
          <w:lang w:val="en-AU"/>
        </w:rPr>
      </w:pPr>
      <w:r w:rsidRPr="00D27522">
        <w:rPr>
          <w:rFonts w:ascii="Book Antiqua" w:hAnsi="Book Antiqua"/>
          <w:sz w:val="20"/>
          <w:szCs w:val="20"/>
          <w:lang w:val="en-AU"/>
        </w:rPr>
        <w:t>“</w:t>
      </w:r>
      <w:r w:rsidR="007852C7" w:rsidRPr="00D27522">
        <w:rPr>
          <w:rFonts w:ascii="Book Antiqua" w:hAnsi="Book Antiqua"/>
          <w:sz w:val="20"/>
          <w:szCs w:val="20"/>
          <w:lang w:val="en-AU"/>
        </w:rPr>
        <w:t>[L]egislation imposing positive duties upon litigants and practitioners, will help to change attitudes and, within constitutionally permissible limits, will confirm that judges do have the power they need to require parties to cooperate to bring about the just resolution of disputes as quickly, inexpensively and efficiently as possible.”</w:t>
      </w:r>
    </w:p>
    <w:p w:rsidR="007852C7" w:rsidRPr="00D27522" w:rsidRDefault="007852C7" w:rsidP="001C1BB0">
      <w:pPr>
        <w:spacing w:line="360" w:lineRule="auto"/>
        <w:jc w:val="both"/>
        <w:rPr>
          <w:rFonts w:ascii="Book Antiqua" w:hAnsi="Book Antiqua"/>
          <w:sz w:val="22"/>
          <w:szCs w:val="22"/>
          <w:lang w:val="en-AU"/>
        </w:rPr>
      </w:pPr>
    </w:p>
    <w:p w:rsidR="007852C7" w:rsidRPr="00D27522" w:rsidRDefault="007852C7" w:rsidP="007852C7">
      <w:pPr>
        <w:spacing w:line="360" w:lineRule="auto"/>
        <w:jc w:val="both"/>
        <w:rPr>
          <w:rFonts w:ascii="Book Antiqua" w:hAnsi="Book Antiqua"/>
          <w:sz w:val="22"/>
          <w:szCs w:val="22"/>
          <w:lang w:val="en-AU"/>
        </w:rPr>
      </w:pPr>
      <w:r w:rsidRPr="00D27522">
        <w:rPr>
          <w:rFonts w:ascii="Book Antiqua" w:hAnsi="Book Antiqua"/>
          <w:sz w:val="22"/>
          <w:szCs w:val="22"/>
          <w:lang w:val="en-AU"/>
        </w:rPr>
        <w:t>The introduction of the Act has provided this impetus to effect a widespread cultural shift across the legal profession in order to both improve the efficiency of the Court, as well as to maintain a public confidence in the legal system. The Explanatory Memorandum which accompanied the Act identified the two main ways in which the primary objective of changing the culture of litigation was to be achieved. First, the changes implemented through the Act seek to create a culture in which litigants are encouraged to resolve their cases without going to court, and where litigation is seen as a measure of last resort. The second aspect focuses on the building of a culture within the court system that encourages litigants and, perhaps even more importantly, their lawyers to use “reasonable endeavours to achieve early resolution of cases by agreement, using appropriate dispute resolution processes where appropriate or to narrow the issues in dispute, except where the interests of justice require access to the court, or where the dispute is of such a nature that only judicial determination is appropriate</w:t>
      </w:r>
      <w:r w:rsidR="000415B4">
        <w:rPr>
          <w:rFonts w:ascii="Book Antiqua" w:hAnsi="Book Antiqua"/>
          <w:sz w:val="22"/>
          <w:szCs w:val="22"/>
          <w:lang w:val="en-AU"/>
        </w:rPr>
        <w:t>.</w:t>
      </w:r>
      <w:r w:rsidRPr="00D27522">
        <w:rPr>
          <w:rFonts w:ascii="Book Antiqua" w:hAnsi="Book Antiqua"/>
          <w:sz w:val="22"/>
          <w:szCs w:val="22"/>
          <w:lang w:val="en-AU"/>
        </w:rPr>
        <w:t>”</w:t>
      </w:r>
      <w:r w:rsidRPr="00D27522">
        <w:rPr>
          <w:rStyle w:val="FootnoteReference"/>
          <w:rFonts w:ascii="Book Antiqua" w:hAnsi="Book Antiqua"/>
          <w:sz w:val="22"/>
          <w:szCs w:val="22"/>
          <w:lang w:val="en-AU"/>
        </w:rPr>
        <w:footnoteReference w:id="42"/>
      </w:r>
    </w:p>
    <w:p w:rsidR="007852C7" w:rsidRPr="00D27522" w:rsidRDefault="007852C7" w:rsidP="007852C7">
      <w:pPr>
        <w:spacing w:line="360" w:lineRule="auto"/>
        <w:jc w:val="both"/>
        <w:rPr>
          <w:rFonts w:ascii="Book Antiqua" w:hAnsi="Book Antiqua"/>
          <w:sz w:val="22"/>
          <w:szCs w:val="22"/>
          <w:lang w:val="en-AU"/>
        </w:rPr>
      </w:pPr>
    </w:p>
    <w:p w:rsidR="007852C7" w:rsidRPr="00D27522" w:rsidRDefault="007852C7" w:rsidP="007852C7">
      <w:pPr>
        <w:spacing w:line="360" w:lineRule="auto"/>
        <w:jc w:val="both"/>
        <w:rPr>
          <w:rFonts w:ascii="Book Antiqua" w:hAnsi="Book Antiqua"/>
          <w:sz w:val="22"/>
          <w:szCs w:val="22"/>
          <w:lang w:val="en-AU"/>
        </w:rPr>
      </w:pPr>
      <w:r w:rsidRPr="00D27522">
        <w:rPr>
          <w:rFonts w:ascii="Book Antiqua" w:hAnsi="Book Antiqua"/>
          <w:sz w:val="22"/>
          <w:szCs w:val="22"/>
          <w:lang w:val="en-AU"/>
        </w:rPr>
        <w:t xml:space="preserve">In respect of these overarching obligations, the </w:t>
      </w:r>
      <w:r w:rsidR="005E6142" w:rsidRPr="00D27522">
        <w:rPr>
          <w:rFonts w:ascii="Book Antiqua" w:hAnsi="Book Antiqua"/>
          <w:sz w:val="22"/>
          <w:szCs w:val="22"/>
          <w:lang w:val="en-AU"/>
        </w:rPr>
        <w:t>Act</w:t>
      </w:r>
      <w:r w:rsidRPr="00D27522">
        <w:rPr>
          <w:rFonts w:ascii="Book Antiqua" w:hAnsi="Book Antiqua"/>
          <w:sz w:val="22"/>
          <w:szCs w:val="22"/>
          <w:lang w:val="en-AU"/>
        </w:rPr>
        <w:t xml:space="preserve"> largely adopted the recommendations of</w:t>
      </w:r>
      <w:r w:rsidR="00616A4C" w:rsidRPr="00D27522">
        <w:rPr>
          <w:rFonts w:ascii="Book Antiqua" w:hAnsi="Book Antiqua"/>
          <w:sz w:val="22"/>
          <w:szCs w:val="22"/>
          <w:lang w:val="en-AU"/>
        </w:rPr>
        <w:t xml:space="preserve"> the </w:t>
      </w:r>
      <w:r w:rsidRPr="00140175">
        <w:rPr>
          <w:rFonts w:ascii="Book Antiqua" w:hAnsi="Book Antiqua"/>
          <w:i/>
          <w:sz w:val="22"/>
          <w:szCs w:val="22"/>
          <w:lang w:val="en-AU"/>
        </w:rPr>
        <w:t>VLR</w:t>
      </w:r>
      <w:r w:rsidR="00140175" w:rsidRPr="00140175">
        <w:rPr>
          <w:rFonts w:ascii="Book Antiqua" w:hAnsi="Book Antiqua"/>
          <w:i/>
          <w:sz w:val="22"/>
          <w:szCs w:val="22"/>
          <w:lang w:val="en-AU"/>
        </w:rPr>
        <w:t>C Review</w:t>
      </w:r>
      <w:r w:rsidR="00140175">
        <w:rPr>
          <w:rFonts w:ascii="Book Antiqua" w:hAnsi="Book Antiqua"/>
          <w:i/>
          <w:sz w:val="22"/>
          <w:szCs w:val="22"/>
          <w:lang w:val="en-AU"/>
        </w:rPr>
        <w:t>.</w:t>
      </w:r>
      <w:r w:rsidRPr="00D27522">
        <w:rPr>
          <w:rFonts w:ascii="Book Antiqua" w:hAnsi="Book Antiqua"/>
          <w:sz w:val="22"/>
          <w:szCs w:val="22"/>
          <w:lang w:val="en-AU"/>
        </w:rPr>
        <w:t xml:space="preserve"> This report was </w:t>
      </w:r>
      <w:r w:rsidR="00B44138" w:rsidRPr="00D27522">
        <w:rPr>
          <w:rFonts w:ascii="Book Antiqua" w:hAnsi="Book Antiqua"/>
          <w:sz w:val="22"/>
          <w:szCs w:val="22"/>
          <w:lang w:val="en-AU"/>
        </w:rPr>
        <w:t xml:space="preserve">commissioned to identify the overall objectives and principles of the civil justice system that should guide and inform the rules of civil procedure, having regard to the aims of the Attorney-General’s Justice Statement: </w:t>
      </w:r>
      <w:r w:rsidR="00A44757" w:rsidRPr="00D27522">
        <w:rPr>
          <w:rFonts w:ascii="Book Antiqua" w:hAnsi="Book Antiqua"/>
          <w:i/>
          <w:sz w:val="22"/>
          <w:szCs w:val="22"/>
          <w:lang w:val="en-AU"/>
        </w:rPr>
        <w:t>N</w:t>
      </w:r>
      <w:r w:rsidR="00B44138" w:rsidRPr="00D27522">
        <w:rPr>
          <w:rFonts w:ascii="Book Antiqua" w:hAnsi="Book Antiqua"/>
          <w:i/>
          <w:sz w:val="22"/>
          <w:szCs w:val="22"/>
          <w:lang w:val="en-AU"/>
        </w:rPr>
        <w:t>ew Directions for the Victorian Justice System 2004-2014</w:t>
      </w:r>
      <w:r w:rsidR="00DF63A6" w:rsidRPr="00D27522">
        <w:rPr>
          <w:rFonts w:ascii="Book Antiqua" w:hAnsi="Book Antiqua"/>
          <w:sz w:val="22"/>
          <w:szCs w:val="22"/>
          <w:lang w:val="en-AU"/>
        </w:rPr>
        <w:t>,</w:t>
      </w:r>
      <w:r w:rsidR="00DF63A6" w:rsidRPr="00D27522">
        <w:rPr>
          <w:rStyle w:val="FootnoteReference"/>
          <w:rFonts w:ascii="Book Antiqua" w:hAnsi="Book Antiqua"/>
          <w:sz w:val="22"/>
          <w:szCs w:val="22"/>
          <w:lang w:val="en-AU"/>
        </w:rPr>
        <w:footnoteReference w:id="43"/>
      </w:r>
      <w:r w:rsidR="00DF63A6" w:rsidRPr="00785375">
        <w:rPr>
          <w:rFonts w:ascii="Book Antiqua" w:hAnsi="Book Antiqua"/>
          <w:sz w:val="22"/>
          <w:szCs w:val="22"/>
          <w:lang w:val="en-AU"/>
        </w:rPr>
        <w:t xml:space="preserve"> </w:t>
      </w:r>
      <w:r w:rsidR="00B44138" w:rsidRPr="00785375">
        <w:rPr>
          <w:rFonts w:ascii="Book Antiqua" w:hAnsi="Book Antiqua"/>
          <w:sz w:val="22"/>
          <w:szCs w:val="22"/>
          <w:lang w:val="en-AU"/>
        </w:rPr>
        <w:t>as well as to identify the key factors that influence the operation of the civil justice system</w:t>
      </w:r>
      <w:r w:rsidR="00785375">
        <w:rPr>
          <w:rFonts w:ascii="Book Antiqua" w:hAnsi="Book Antiqua"/>
          <w:sz w:val="22"/>
          <w:szCs w:val="22"/>
          <w:lang w:val="en-AU"/>
        </w:rPr>
        <w:t>;</w:t>
      </w:r>
      <w:r w:rsidR="00B44138" w:rsidRPr="00785375">
        <w:rPr>
          <w:rFonts w:ascii="Book Antiqua" w:hAnsi="Book Antiqua"/>
          <w:sz w:val="22"/>
          <w:szCs w:val="22"/>
          <w:lang w:val="en-AU"/>
        </w:rPr>
        <w:t xml:space="preserve"> including those factors that influence the timeliness, cost and complexity of litigation.</w:t>
      </w:r>
      <w:r w:rsidR="00B44138" w:rsidRPr="00D27522">
        <w:rPr>
          <w:rStyle w:val="FootnoteReference"/>
          <w:rFonts w:ascii="Book Antiqua" w:hAnsi="Book Antiqua"/>
          <w:sz w:val="22"/>
          <w:szCs w:val="22"/>
          <w:lang w:val="en-AU"/>
        </w:rPr>
        <w:footnoteReference w:id="44"/>
      </w:r>
      <w:r w:rsidRPr="00D27522">
        <w:rPr>
          <w:rFonts w:ascii="Book Antiqua" w:hAnsi="Book Antiqua"/>
          <w:sz w:val="22"/>
          <w:szCs w:val="22"/>
          <w:lang w:val="en-AU"/>
        </w:rPr>
        <w:t xml:space="preserve"> </w:t>
      </w:r>
      <w:r w:rsidR="00B44138" w:rsidRPr="00D27522">
        <w:rPr>
          <w:rFonts w:ascii="Book Antiqua" w:hAnsi="Book Antiqua"/>
          <w:sz w:val="22"/>
          <w:szCs w:val="22"/>
          <w:lang w:val="en-AU"/>
        </w:rPr>
        <w:t>The VLRC Report</w:t>
      </w:r>
      <w:r w:rsidRPr="00D27522">
        <w:rPr>
          <w:rFonts w:ascii="Book Antiqua" w:hAnsi="Book Antiqua"/>
          <w:sz w:val="22"/>
          <w:szCs w:val="22"/>
          <w:lang w:val="en-AU"/>
        </w:rPr>
        <w:t xml:space="preserve"> was itself influenced by Lord Woolf’s review of the civil justice system in England and Wales,</w:t>
      </w:r>
      <w:r w:rsidR="00B44138" w:rsidRPr="00D27522">
        <w:rPr>
          <w:rStyle w:val="FootnoteReference"/>
          <w:rFonts w:ascii="Book Antiqua" w:hAnsi="Book Antiqua"/>
          <w:sz w:val="22"/>
          <w:szCs w:val="22"/>
          <w:lang w:val="en-AU"/>
        </w:rPr>
        <w:footnoteReference w:id="45"/>
      </w:r>
      <w:r w:rsidRPr="00785375">
        <w:rPr>
          <w:rFonts w:ascii="Book Antiqua" w:hAnsi="Book Antiqua"/>
          <w:sz w:val="22"/>
          <w:szCs w:val="22"/>
          <w:lang w:val="en-AU"/>
        </w:rPr>
        <w:t xml:space="preserve"> in which he concluded that an unacceptab</w:t>
      </w:r>
      <w:r w:rsidR="000415B4">
        <w:rPr>
          <w:rFonts w:ascii="Book Antiqua" w:hAnsi="Book Antiqua"/>
          <w:sz w:val="22"/>
          <w:szCs w:val="22"/>
          <w:lang w:val="en-AU"/>
        </w:rPr>
        <w:t>le situation had arisen out of “</w:t>
      </w:r>
      <w:r w:rsidRPr="00785375">
        <w:rPr>
          <w:rFonts w:ascii="Book Antiqua" w:hAnsi="Book Antiqua"/>
          <w:sz w:val="22"/>
          <w:szCs w:val="22"/>
          <w:lang w:val="en-AU"/>
        </w:rPr>
        <w:t>unmanaged adversarial procedure.”</w:t>
      </w:r>
      <w:r w:rsidRPr="00785375">
        <w:rPr>
          <w:rStyle w:val="FootnoteReference"/>
          <w:rFonts w:ascii="Book Antiqua" w:hAnsi="Book Antiqua"/>
          <w:sz w:val="22"/>
          <w:szCs w:val="22"/>
          <w:lang w:val="en-AU"/>
        </w:rPr>
        <w:footnoteReference w:id="46"/>
      </w:r>
    </w:p>
    <w:p w:rsidR="007852C7" w:rsidRPr="00D27522" w:rsidRDefault="007852C7" w:rsidP="007852C7">
      <w:pPr>
        <w:spacing w:line="360" w:lineRule="auto"/>
        <w:jc w:val="both"/>
        <w:rPr>
          <w:rFonts w:ascii="Book Antiqua" w:hAnsi="Book Antiqua"/>
          <w:sz w:val="22"/>
          <w:szCs w:val="22"/>
          <w:lang w:val="en-AU"/>
        </w:rPr>
      </w:pPr>
    </w:p>
    <w:p w:rsidR="007852C7" w:rsidRPr="00D27522" w:rsidRDefault="007852C7" w:rsidP="007852C7">
      <w:pPr>
        <w:spacing w:line="360" w:lineRule="auto"/>
        <w:jc w:val="both"/>
        <w:rPr>
          <w:rFonts w:ascii="Book Antiqua" w:hAnsi="Book Antiqua"/>
          <w:sz w:val="22"/>
          <w:szCs w:val="22"/>
          <w:lang w:val="en-AU"/>
        </w:rPr>
      </w:pPr>
      <w:r w:rsidRPr="00D27522">
        <w:rPr>
          <w:rFonts w:ascii="Book Antiqua" w:hAnsi="Book Antiqua"/>
          <w:sz w:val="22"/>
          <w:szCs w:val="22"/>
          <w:lang w:val="en-AU"/>
        </w:rPr>
        <w:t xml:space="preserve">In providing his </w:t>
      </w:r>
      <w:r w:rsidR="00785375" w:rsidRPr="00D27522">
        <w:rPr>
          <w:rFonts w:ascii="Book Antiqua" w:hAnsi="Book Antiqua"/>
          <w:i/>
          <w:sz w:val="22"/>
          <w:szCs w:val="22"/>
          <w:lang w:val="en-AU"/>
        </w:rPr>
        <w:t>I</w:t>
      </w:r>
      <w:r w:rsidRPr="00D27522">
        <w:rPr>
          <w:rFonts w:ascii="Book Antiqua" w:hAnsi="Book Antiqua"/>
          <w:i/>
          <w:sz w:val="22"/>
          <w:szCs w:val="22"/>
          <w:lang w:val="en-AU"/>
        </w:rPr>
        <w:t xml:space="preserve">nterim </w:t>
      </w:r>
      <w:r w:rsidR="00785375" w:rsidRPr="00D27522">
        <w:rPr>
          <w:rFonts w:ascii="Book Antiqua" w:hAnsi="Book Antiqua"/>
          <w:i/>
          <w:sz w:val="22"/>
          <w:szCs w:val="22"/>
          <w:lang w:val="en-AU"/>
        </w:rPr>
        <w:t>R</w:t>
      </w:r>
      <w:r w:rsidRPr="00D27522">
        <w:rPr>
          <w:rFonts w:ascii="Book Antiqua" w:hAnsi="Book Antiqua"/>
          <w:i/>
          <w:sz w:val="22"/>
          <w:szCs w:val="22"/>
          <w:lang w:val="en-AU"/>
        </w:rPr>
        <w:t>eport</w:t>
      </w:r>
      <w:r w:rsidRPr="00D27522">
        <w:rPr>
          <w:rFonts w:ascii="Book Antiqua" w:hAnsi="Book Antiqua"/>
          <w:sz w:val="22"/>
          <w:szCs w:val="22"/>
          <w:lang w:val="en-AU"/>
        </w:rPr>
        <w:t xml:space="preserve"> Lord Woolf identified the cause of high costs within the civil justice system as being a product of the “uncontrolled nature of the litigation process.”</w:t>
      </w:r>
      <w:r w:rsidR="00140175" w:rsidRPr="00D27522">
        <w:rPr>
          <w:rFonts w:ascii="Book Antiqua" w:hAnsi="Book Antiqua"/>
          <w:sz w:val="22"/>
          <w:szCs w:val="22"/>
          <w:lang w:val="en-AU"/>
        </w:rPr>
        <w:t xml:space="preserve"> </w:t>
      </w:r>
      <w:r w:rsidRPr="00D27522">
        <w:rPr>
          <w:rFonts w:ascii="Book Antiqua" w:hAnsi="Book Antiqua"/>
          <w:sz w:val="22"/>
          <w:szCs w:val="22"/>
          <w:lang w:val="en-AU"/>
        </w:rPr>
        <w:t xml:space="preserve">His </w:t>
      </w:r>
      <w:r w:rsidR="00A44757" w:rsidRPr="00D27522">
        <w:rPr>
          <w:rFonts w:ascii="Book Antiqua" w:hAnsi="Book Antiqua"/>
          <w:sz w:val="22"/>
          <w:szCs w:val="22"/>
          <w:lang w:val="en-AU"/>
        </w:rPr>
        <w:t xml:space="preserve">Lordship </w:t>
      </w:r>
      <w:r w:rsidRPr="00D27522">
        <w:rPr>
          <w:rFonts w:ascii="Book Antiqua" w:hAnsi="Book Antiqua"/>
          <w:sz w:val="22"/>
          <w:szCs w:val="22"/>
          <w:lang w:val="en-AU"/>
        </w:rPr>
        <w:t>said:</w:t>
      </w:r>
      <w:r w:rsidR="00785375">
        <w:rPr>
          <w:rStyle w:val="FootnoteReference"/>
          <w:rFonts w:ascii="Book Antiqua" w:hAnsi="Book Antiqua"/>
          <w:sz w:val="22"/>
          <w:szCs w:val="22"/>
          <w:lang w:val="en-AU"/>
        </w:rPr>
        <w:footnoteReference w:id="47"/>
      </w:r>
    </w:p>
    <w:p w:rsidR="007852C7" w:rsidRPr="00D27522" w:rsidRDefault="007852C7" w:rsidP="007852C7">
      <w:pPr>
        <w:spacing w:line="360" w:lineRule="auto"/>
        <w:jc w:val="both"/>
        <w:rPr>
          <w:rFonts w:ascii="Book Antiqua" w:hAnsi="Book Antiqua"/>
          <w:sz w:val="22"/>
          <w:szCs w:val="22"/>
          <w:lang w:val="en-AU"/>
        </w:rPr>
      </w:pPr>
    </w:p>
    <w:p w:rsidR="007852C7" w:rsidRPr="00D27522" w:rsidRDefault="007852C7" w:rsidP="00E511AF">
      <w:pPr>
        <w:ind w:left="1440" w:right="720"/>
        <w:jc w:val="both"/>
        <w:rPr>
          <w:rFonts w:ascii="Book Antiqua" w:hAnsi="Book Antiqua"/>
          <w:sz w:val="20"/>
          <w:szCs w:val="20"/>
          <w:lang w:val="en-AU"/>
        </w:rPr>
      </w:pPr>
      <w:r w:rsidRPr="00D27522">
        <w:rPr>
          <w:rFonts w:ascii="Book Antiqua" w:hAnsi="Book Antiqua"/>
          <w:sz w:val="20"/>
          <w:szCs w:val="20"/>
          <w:lang w:val="en-AU"/>
        </w:rPr>
        <w:t>“Without effective judicial control … the adversarial process is likely to encourage an adversarial culture and to degenerate into an environment in which the litigation process is too often seen as a battlefield where no rules apply.”</w:t>
      </w:r>
    </w:p>
    <w:p w:rsidR="008569D9" w:rsidRPr="00D27522" w:rsidRDefault="008569D9" w:rsidP="001C1BB0">
      <w:pPr>
        <w:spacing w:line="360" w:lineRule="auto"/>
        <w:jc w:val="both"/>
        <w:rPr>
          <w:rFonts w:ascii="Book Antiqua" w:hAnsi="Book Antiqua"/>
          <w:sz w:val="22"/>
          <w:szCs w:val="22"/>
          <w:lang w:val="en-AU"/>
        </w:rPr>
      </w:pPr>
    </w:p>
    <w:p w:rsidR="00911E5E" w:rsidRPr="00D27522" w:rsidRDefault="005213F9"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The introduction of this Act has clarified the objectives</w:t>
      </w:r>
      <w:r w:rsidR="00785375">
        <w:rPr>
          <w:rFonts w:ascii="Book Antiqua" w:hAnsi="Book Antiqua"/>
          <w:sz w:val="22"/>
          <w:szCs w:val="22"/>
          <w:lang w:val="en-AU"/>
        </w:rPr>
        <w:t xml:space="preserve"> of</w:t>
      </w:r>
      <w:r w:rsidRPr="00D27522">
        <w:rPr>
          <w:rFonts w:ascii="Book Antiqua" w:hAnsi="Book Antiqua"/>
          <w:sz w:val="22"/>
          <w:szCs w:val="22"/>
          <w:lang w:val="en-AU"/>
        </w:rPr>
        <w:t xml:space="preserve"> and principles</w:t>
      </w:r>
      <w:r w:rsidR="00785375">
        <w:rPr>
          <w:rFonts w:ascii="Book Antiqua" w:hAnsi="Book Antiqua"/>
          <w:sz w:val="22"/>
          <w:szCs w:val="22"/>
          <w:lang w:val="en-AU"/>
        </w:rPr>
        <w:t xml:space="preserve"> to be applied in the civil justice system – and annunciated obligations</w:t>
      </w:r>
      <w:r w:rsidRPr="00D27522">
        <w:rPr>
          <w:rFonts w:ascii="Book Antiqua" w:hAnsi="Book Antiqua"/>
          <w:sz w:val="22"/>
          <w:szCs w:val="22"/>
          <w:lang w:val="en-AU"/>
        </w:rPr>
        <w:t xml:space="preserve"> that </w:t>
      </w:r>
      <w:r w:rsidR="00785375">
        <w:rPr>
          <w:rFonts w:ascii="Book Antiqua" w:hAnsi="Book Antiqua"/>
          <w:sz w:val="22"/>
          <w:szCs w:val="22"/>
          <w:lang w:val="en-AU"/>
        </w:rPr>
        <w:t>must</w:t>
      </w:r>
      <w:r w:rsidR="00785375" w:rsidRPr="00D27522">
        <w:rPr>
          <w:rFonts w:ascii="Book Antiqua" w:hAnsi="Book Antiqua"/>
          <w:sz w:val="22"/>
          <w:szCs w:val="22"/>
          <w:lang w:val="en-AU"/>
        </w:rPr>
        <w:t xml:space="preserve"> </w:t>
      </w:r>
      <w:r w:rsidRPr="00D27522">
        <w:rPr>
          <w:rFonts w:ascii="Book Antiqua" w:hAnsi="Book Antiqua"/>
          <w:sz w:val="22"/>
          <w:szCs w:val="22"/>
          <w:lang w:val="en-AU"/>
        </w:rPr>
        <w:t xml:space="preserve">be </w:t>
      </w:r>
      <w:r w:rsidR="00785375">
        <w:rPr>
          <w:rFonts w:ascii="Book Antiqua" w:hAnsi="Book Antiqua"/>
          <w:sz w:val="22"/>
          <w:szCs w:val="22"/>
          <w:lang w:val="en-AU"/>
        </w:rPr>
        <w:t>to</w:t>
      </w:r>
      <w:r w:rsidR="00785375" w:rsidRPr="00D27522">
        <w:rPr>
          <w:rFonts w:ascii="Book Antiqua" w:hAnsi="Book Antiqua"/>
          <w:sz w:val="22"/>
          <w:szCs w:val="22"/>
          <w:lang w:val="en-AU"/>
        </w:rPr>
        <w:t xml:space="preserve"> </w:t>
      </w:r>
      <w:r w:rsidRPr="00D27522">
        <w:rPr>
          <w:rFonts w:ascii="Book Antiqua" w:hAnsi="Book Antiqua"/>
          <w:sz w:val="22"/>
          <w:szCs w:val="22"/>
          <w:lang w:val="en-AU"/>
        </w:rPr>
        <w:t>the fore of the minds of all practitioners as they engage in civil litigation here in Victoria.</w:t>
      </w:r>
      <w:r w:rsidR="00785375">
        <w:rPr>
          <w:rFonts w:ascii="Book Antiqua" w:hAnsi="Book Antiqua"/>
          <w:sz w:val="22"/>
          <w:szCs w:val="22"/>
          <w:lang w:val="en-AU"/>
        </w:rPr>
        <w:t xml:space="preserve"> Clearly the effect of the Act will be felt more and more broadly</w:t>
      </w:r>
      <w:r w:rsidR="00441EAF">
        <w:rPr>
          <w:rFonts w:ascii="Book Antiqua" w:hAnsi="Book Antiqua"/>
          <w:sz w:val="22"/>
          <w:szCs w:val="22"/>
          <w:lang w:val="en-AU"/>
        </w:rPr>
        <w:t xml:space="preserve"> as</w:t>
      </w:r>
      <w:r w:rsidR="00785375">
        <w:rPr>
          <w:rFonts w:ascii="Book Antiqua" w:hAnsi="Book Antiqua"/>
          <w:sz w:val="22"/>
          <w:szCs w:val="22"/>
          <w:lang w:val="en-AU"/>
        </w:rPr>
        <w:t xml:space="preserve"> the peril of disre</w:t>
      </w:r>
      <w:r w:rsidR="00441EAF">
        <w:rPr>
          <w:rFonts w:ascii="Book Antiqua" w:hAnsi="Book Antiqua"/>
          <w:sz w:val="22"/>
          <w:szCs w:val="22"/>
          <w:lang w:val="en-AU"/>
        </w:rPr>
        <w:t>garding these obligations is realized</w:t>
      </w:r>
      <w:r w:rsidR="00785375">
        <w:rPr>
          <w:rFonts w:ascii="Book Antiqua" w:hAnsi="Book Antiqua"/>
          <w:sz w:val="22"/>
          <w:szCs w:val="22"/>
          <w:lang w:val="en-AU"/>
        </w:rPr>
        <w:t xml:space="preserve"> more extensively  - by practitioners and by parties (or potential parties).</w:t>
      </w:r>
    </w:p>
    <w:p w:rsidR="00A44757" w:rsidRPr="00D27522" w:rsidRDefault="00A44757" w:rsidP="0022424B">
      <w:pPr>
        <w:spacing w:line="360" w:lineRule="auto"/>
        <w:jc w:val="both"/>
        <w:rPr>
          <w:rFonts w:ascii="Book Antiqua" w:hAnsi="Book Antiqua"/>
          <w:b/>
          <w:sz w:val="22"/>
          <w:szCs w:val="22"/>
          <w:u w:val="single"/>
          <w:lang w:val="en-AU"/>
        </w:rPr>
      </w:pPr>
    </w:p>
    <w:p w:rsidR="007852C7" w:rsidRPr="00D11DBD" w:rsidRDefault="007852C7" w:rsidP="0022424B">
      <w:pPr>
        <w:spacing w:line="360" w:lineRule="auto"/>
        <w:jc w:val="both"/>
        <w:rPr>
          <w:rFonts w:ascii="Book Antiqua" w:hAnsi="Book Antiqua"/>
          <w:b/>
          <w:u w:val="single"/>
          <w:lang w:val="en-AU"/>
        </w:rPr>
      </w:pPr>
      <w:r w:rsidRPr="00D11DBD">
        <w:rPr>
          <w:rFonts w:ascii="Book Antiqua" w:hAnsi="Book Antiqua"/>
          <w:b/>
          <w:u w:val="single"/>
          <w:lang w:val="en-AU"/>
        </w:rPr>
        <w:t>The Nature of the Obligations</w:t>
      </w:r>
    </w:p>
    <w:p w:rsidR="007852C7" w:rsidRPr="00D27522" w:rsidRDefault="007852C7" w:rsidP="0022424B">
      <w:pPr>
        <w:spacing w:line="360" w:lineRule="auto"/>
        <w:jc w:val="both"/>
        <w:rPr>
          <w:rFonts w:ascii="Book Antiqua" w:hAnsi="Book Antiqua"/>
          <w:sz w:val="22"/>
          <w:szCs w:val="22"/>
          <w:lang w:val="en-AU"/>
        </w:rPr>
      </w:pPr>
    </w:p>
    <w:p w:rsidR="005213F9" w:rsidRPr="00D27522" w:rsidRDefault="007852C7" w:rsidP="0022424B">
      <w:pPr>
        <w:spacing w:line="360" w:lineRule="auto"/>
        <w:jc w:val="both"/>
        <w:rPr>
          <w:rFonts w:ascii="Book Antiqua" w:hAnsi="Book Antiqua"/>
          <w:sz w:val="22"/>
          <w:szCs w:val="22"/>
          <w:lang w:val="en-AU"/>
        </w:rPr>
      </w:pPr>
      <w:r w:rsidRPr="00D27522">
        <w:rPr>
          <w:rFonts w:ascii="Book Antiqua" w:hAnsi="Book Antiqua"/>
          <w:sz w:val="22"/>
          <w:szCs w:val="22"/>
          <w:lang w:val="en-AU"/>
        </w:rPr>
        <w:t>Part 2.3</w:t>
      </w:r>
      <w:r w:rsidR="00E42F49" w:rsidRPr="00D27522">
        <w:rPr>
          <w:rFonts w:ascii="Book Antiqua" w:hAnsi="Book Antiqua"/>
          <w:sz w:val="22"/>
          <w:szCs w:val="22"/>
          <w:lang w:val="en-AU"/>
        </w:rPr>
        <w:t xml:space="preserve"> </w:t>
      </w:r>
      <w:r w:rsidR="005213F9" w:rsidRPr="00D27522">
        <w:rPr>
          <w:rFonts w:ascii="Book Antiqua" w:hAnsi="Book Antiqua"/>
          <w:sz w:val="22"/>
          <w:szCs w:val="22"/>
          <w:lang w:val="en-AU"/>
        </w:rPr>
        <w:t>of the Act outlines the</w:t>
      </w:r>
      <w:r w:rsidR="00E42F49" w:rsidRPr="00D27522">
        <w:rPr>
          <w:rFonts w:ascii="Book Antiqua" w:hAnsi="Book Antiqua"/>
          <w:sz w:val="22"/>
          <w:szCs w:val="22"/>
          <w:lang w:val="en-AU"/>
        </w:rPr>
        <w:t xml:space="preserve"> overarching obligations. </w:t>
      </w:r>
      <w:r w:rsidR="005213F9" w:rsidRPr="00D27522">
        <w:rPr>
          <w:rFonts w:ascii="Book Antiqua" w:hAnsi="Book Antiqua"/>
          <w:sz w:val="22"/>
          <w:szCs w:val="22"/>
          <w:lang w:val="en-AU"/>
        </w:rPr>
        <w:t>For the purposes of this paper, a number of them will be considered briefly here, before focusing specifically on s 24 – the obligation to ensure costs are reasonable and proportionate – and s 25, which establishes an obligation to minimise delay.</w:t>
      </w:r>
    </w:p>
    <w:p w:rsidR="005213F9" w:rsidRPr="00D27522" w:rsidRDefault="005213F9" w:rsidP="0022424B">
      <w:pPr>
        <w:spacing w:line="360" w:lineRule="auto"/>
        <w:jc w:val="both"/>
        <w:rPr>
          <w:rFonts w:ascii="Book Antiqua" w:hAnsi="Book Antiqua"/>
          <w:sz w:val="22"/>
          <w:szCs w:val="22"/>
          <w:lang w:val="en-AU"/>
        </w:rPr>
      </w:pPr>
    </w:p>
    <w:p w:rsidR="005E6142" w:rsidRPr="00785375" w:rsidRDefault="00E42F49" w:rsidP="0022424B">
      <w:pPr>
        <w:spacing w:line="360" w:lineRule="auto"/>
        <w:jc w:val="both"/>
        <w:rPr>
          <w:rFonts w:ascii="Book Antiqua" w:hAnsi="Book Antiqua"/>
          <w:sz w:val="22"/>
          <w:szCs w:val="22"/>
          <w:lang w:val="en-AU"/>
        </w:rPr>
      </w:pPr>
      <w:r w:rsidRPr="00D27522">
        <w:rPr>
          <w:rFonts w:ascii="Book Antiqua" w:hAnsi="Book Antiqua"/>
          <w:sz w:val="22"/>
          <w:szCs w:val="22"/>
          <w:lang w:val="en-AU"/>
        </w:rPr>
        <w:t>Section 16</w:t>
      </w:r>
      <w:r w:rsidR="005213F9" w:rsidRPr="00D27522">
        <w:rPr>
          <w:rFonts w:ascii="Book Antiqua" w:hAnsi="Book Antiqua"/>
          <w:sz w:val="22"/>
          <w:szCs w:val="22"/>
          <w:lang w:val="en-AU"/>
        </w:rPr>
        <w:t xml:space="preserve"> of the Act</w:t>
      </w:r>
      <w:r w:rsidRPr="00D27522">
        <w:rPr>
          <w:rFonts w:ascii="Book Antiqua" w:hAnsi="Book Antiqua"/>
          <w:sz w:val="22"/>
          <w:szCs w:val="22"/>
          <w:lang w:val="en-AU"/>
        </w:rPr>
        <w:t xml:space="preserve"> provides that any person to whom the overarching obligations apply has a</w:t>
      </w:r>
      <w:r w:rsidR="0022424B" w:rsidRPr="00D27522">
        <w:rPr>
          <w:rFonts w:ascii="Book Antiqua" w:hAnsi="Book Antiqua"/>
          <w:sz w:val="22"/>
          <w:szCs w:val="22"/>
          <w:lang w:val="en-AU"/>
        </w:rPr>
        <w:t xml:space="preserve"> paramount duty to th</w:t>
      </w:r>
      <w:r w:rsidR="00E53A36" w:rsidRPr="00D27522">
        <w:rPr>
          <w:rFonts w:ascii="Book Antiqua" w:hAnsi="Book Antiqua"/>
          <w:sz w:val="22"/>
          <w:szCs w:val="22"/>
          <w:lang w:val="en-AU"/>
        </w:rPr>
        <w:t>e C</w:t>
      </w:r>
      <w:r w:rsidR="0022424B" w:rsidRPr="00D27522">
        <w:rPr>
          <w:rFonts w:ascii="Book Antiqua" w:hAnsi="Book Antiqua"/>
          <w:sz w:val="22"/>
          <w:szCs w:val="22"/>
          <w:lang w:val="en-AU"/>
        </w:rPr>
        <w:t>ourt “to further the administration of justice in re</w:t>
      </w:r>
      <w:r w:rsidRPr="00D27522">
        <w:rPr>
          <w:rFonts w:ascii="Book Antiqua" w:hAnsi="Book Antiqua"/>
          <w:sz w:val="22"/>
          <w:szCs w:val="22"/>
          <w:lang w:val="en-AU"/>
        </w:rPr>
        <w:t>lation to any civil proceeding”,</w:t>
      </w:r>
      <w:r w:rsidR="0022424B" w:rsidRPr="00785375">
        <w:rPr>
          <w:rFonts w:ascii="Book Antiqua" w:hAnsi="Book Antiqua"/>
          <w:sz w:val="22"/>
          <w:szCs w:val="22"/>
          <w:vertAlign w:val="superscript"/>
          <w:lang w:val="en-AU"/>
        </w:rPr>
        <w:footnoteReference w:id="48"/>
      </w:r>
      <w:r w:rsidRPr="00785375">
        <w:rPr>
          <w:rFonts w:ascii="Book Antiqua" w:hAnsi="Book Antiqua"/>
          <w:sz w:val="22"/>
          <w:szCs w:val="22"/>
          <w:lang w:val="en-AU"/>
        </w:rPr>
        <w:t xml:space="preserve"> while s 17 obliges a person to whom the overarching obligations apply to act honestly at all times in relation to a civil proceeding. These obligations ca</w:t>
      </w:r>
      <w:r w:rsidR="00342FFD" w:rsidRPr="00785375">
        <w:rPr>
          <w:rFonts w:ascii="Book Antiqua" w:hAnsi="Book Antiqua"/>
          <w:sz w:val="22"/>
          <w:szCs w:val="22"/>
          <w:lang w:val="en-AU"/>
        </w:rPr>
        <w:t xml:space="preserve">n be seen as part of what </w:t>
      </w:r>
      <w:r w:rsidR="00596380">
        <w:rPr>
          <w:rFonts w:ascii="Book Antiqua" w:hAnsi="Book Antiqua"/>
          <w:sz w:val="22"/>
          <w:szCs w:val="22"/>
          <w:lang w:val="en-AU"/>
        </w:rPr>
        <w:t xml:space="preserve">Justice </w:t>
      </w:r>
      <w:r w:rsidR="000415B4">
        <w:rPr>
          <w:rFonts w:ascii="Book Antiqua" w:hAnsi="Book Antiqua"/>
          <w:sz w:val="22"/>
          <w:szCs w:val="22"/>
          <w:lang w:val="en-AU"/>
        </w:rPr>
        <w:t>Ipp</w:t>
      </w:r>
      <w:r w:rsidR="00342FFD" w:rsidRPr="00785375">
        <w:rPr>
          <w:rFonts w:ascii="Book Antiqua" w:hAnsi="Book Antiqua"/>
          <w:sz w:val="22"/>
          <w:szCs w:val="22"/>
          <w:lang w:val="en-AU"/>
        </w:rPr>
        <w:t xml:space="preserve"> (as he then was)</w:t>
      </w:r>
      <w:r w:rsidRPr="00785375">
        <w:rPr>
          <w:rFonts w:ascii="Book Antiqua" w:hAnsi="Book Antiqua"/>
          <w:sz w:val="22"/>
          <w:szCs w:val="22"/>
          <w:lang w:val="en-AU"/>
        </w:rPr>
        <w:t xml:space="preserve"> has referred to as “the growing trend of courts to require cases to be determined in accordance with the objective </w:t>
      </w:r>
      <w:r w:rsidR="00A44757" w:rsidRPr="00785375">
        <w:rPr>
          <w:rFonts w:ascii="Book Antiqua" w:hAnsi="Book Antiqua"/>
          <w:sz w:val="22"/>
          <w:szCs w:val="22"/>
          <w:lang w:val="en-AU"/>
        </w:rPr>
        <w:t>‘</w:t>
      </w:r>
      <w:r w:rsidRPr="00785375">
        <w:rPr>
          <w:rFonts w:ascii="Book Antiqua" w:hAnsi="Book Antiqua"/>
          <w:sz w:val="22"/>
          <w:szCs w:val="22"/>
          <w:lang w:val="en-AU"/>
        </w:rPr>
        <w:t>truth</w:t>
      </w:r>
      <w:r w:rsidR="00A44757" w:rsidRPr="00785375">
        <w:rPr>
          <w:rFonts w:ascii="Book Antiqua" w:hAnsi="Book Antiqua"/>
          <w:sz w:val="22"/>
          <w:szCs w:val="22"/>
          <w:lang w:val="en-AU"/>
        </w:rPr>
        <w:t>’</w:t>
      </w:r>
      <w:r w:rsidRPr="00785375">
        <w:rPr>
          <w:rFonts w:ascii="Book Antiqua" w:hAnsi="Book Antiqua"/>
          <w:sz w:val="22"/>
          <w:szCs w:val="22"/>
          <w:lang w:val="en-AU"/>
        </w:rPr>
        <w:t xml:space="preserve"> rather than on evidence adduced solely for reasons of perceived tactical advantage.</w:t>
      </w:r>
      <w:r w:rsidR="00A40C27" w:rsidRPr="00785375">
        <w:rPr>
          <w:rFonts w:ascii="Book Antiqua" w:hAnsi="Book Antiqua"/>
          <w:sz w:val="22"/>
          <w:szCs w:val="22"/>
          <w:lang w:val="en-AU"/>
        </w:rPr>
        <w:t>”</w:t>
      </w:r>
      <w:r w:rsidR="00A40C27" w:rsidRPr="00785375">
        <w:rPr>
          <w:rStyle w:val="FootnoteReference"/>
          <w:rFonts w:ascii="Book Antiqua" w:hAnsi="Book Antiqua"/>
          <w:sz w:val="22"/>
          <w:szCs w:val="22"/>
          <w:lang w:val="en-AU"/>
        </w:rPr>
        <w:footnoteReference w:id="49"/>
      </w:r>
      <w:r w:rsidR="0022424B" w:rsidRPr="00785375">
        <w:rPr>
          <w:rFonts w:ascii="Book Antiqua" w:hAnsi="Book Antiqua"/>
          <w:sz w:val="22"/>
          <w:szCs w:val="22"/>
          <w:lang w:val="en-AU"/>
        </w:rPr>
        <w:t xml:space="preserve"> </w:t>
      </w:r>
      <w:r w:rsidR="005E6142" w:rsidRPr="00785375">
        <w:rPr>
          <w:rFonts w:ascii="Book Antiqua" w:hAnsi="Book Antiqua"/>
          <w:sz w:val="22"/>
          <w:szCs w:val="22"/>
          <w:lang w:val="en-AU"/>
        </w:rPr>
        <w:t>In support of his contention,</w:t>
      </w:r>
      <w:r w:rsidR="00441EAF">
        <w:rPr>
          <w:rFonts w:ascii="Book Antiqua" w:hAnsi="Book Antiqua"/>
          <w:sz w:val="22"/>
          <w:szCs w:val="22"/>
          <w:lang w:val="en-AU"/>
        </w:rPr>
        <w:t xml:space="preserve"> Justice</w:t>
      </w:r>
      <w:r w:rsidR="005E6142" w:rsidRPr="00785375">
        <w:rPr>
          <w:rFonts w:ascii="Book Antiqua" w:hAnsi="Book Antiqua"/>
          <w:sz w:val="22"/>
          <w:szCs w:val="22"/>
          <w:lang w:val="en-AU"/>
        </w:rPr>
        <w:t xml:space="preserve"> Ipp </w:t>
      </w:r>
      <w:r w:rsidR="00A44757" w:rsidRPr="00785375">
        <w:rPr>
          <w:rFonts w:ascii="Book Antiqua" w:hAnsi="Book Antiqua"/>
          <w:sz w:val="22"/>
          <w:szCs w:val="22"/>
          <w:lang w:val="en-AU"/>
        </w:rPr>
        <w:t>(as he then was)</w:t>
      </w:r>
      <w:r w:rsidR="005E6142" w:rsidRPr="00785375">
        <w:rPr>
          <w:rFonts w:ascii="Book Antiqua" w:hAnsi="Book Antiqua"/>
          <w:sz w:val="22"/>
          <w:szCs w:val="22"/>
          <w:lang w:val="en-AU"/>
        </w:rPr>
        <w:t xml:space="preserve"> point</w:t>
      </w:r>
      <w:r w:rsidR="00A44757" w:rsidRPr="00785375">
        <w:rPr>
          <w:rFonts w:ascii="Book Antiqua" w:hAnsi="Book Antiqua"/>
          <w:sz w:val="22"/>
          <w:szCs w:val="22"/>
          <w:lang w:val="en-AU"/>
        </w:rPr>
        <w:t>ed</w:t>
      </w:r>
      <w:r w:rsidR="005E6142" w:rsidRPr="00785375">
        <w:rPr>
          <w:rFonts w:ascii="Book Antiqua" w:hAnsi="Book Antiqua"/>
          <w:sz w:val="22"/>
          <w:szCs w:val="22"/>
          <w:lang w:val="en-AU"/>
        </w:rPr>
        <w:t xml:space="preserve"> to a comment made by the former Chief Justice of Australia, Sir </w:t>
      </w:r>
      <w:r w:rsidR="00911E5E" w:rsidRPr="00785375">
        <w:rPr>
          <w:rFonts w:ascii="Book Antiqua" w:hAnsi="Book Antiqua"/>
          <w:sz w:val="22"/>
          <w:szCs w:val="22"/>
          <w:lang w:val="en-AU"/>
        </w:rPr>
        <w:t>Anthony Mason, who said when discussing the changing role of the courts:</w:t>
      </w:r>
      <w:r w:rsidR="005213F9" w:rsidRPr="00785375">
        <w:rPr>
          <w:rStyle w:val="FootnoteReference"/>
          <w:rFonts w:ascii="Book Antiqua" w:hAnsi="Book Antiqua"/>
          <w:sz w:val="22"/>
          <w:szCs w:val="22"/>
          <w:lang w:val="en-AU"/>
        </w:rPr>
        <w:footnoteReference w:id="50"/>
      </w:r>
    </w:p>
    <w:p w:rsidR="00911E5E" w:rsidRPr="00785375" w:rsidRDefault="00911E5E" w:rsidP="0022424B">
      <w:pPr>
        <w:spacing w:line="360" w:lineRule="auto"/>
        <w:jc w:val="both"/>
        <w:rPr>
          <w:rFonts w:ascii="Book Antiqua" w:hAnsi="Book Antiqua"/>
          <w:sz w:val="22"/>
          <w:szCs w:val="22"/>
          <w:lang w:val="en-AU"/>
        </w:rPr>
      </w:pPr>
    </w:p>
    <w:p w:rsidR="00911E5E" w:rsidRPr="00785375" w:rsidRDefault="00911E5E" w:rsidP="00E511AF">
      <w:pPr>
        <w:ind w:left="1582" w:right="720" w:hanging="142"/>
        <w:jc w:val="both"/>
        <w:rPr>
          <w:rFonts w:ascii="Book Antiqua" w:hAnsi="Book Antiqua"/>
          <w:sz w:val="20"/>
          <w:szCs w:val="20"/>
          <w:lang w:val="en-AU"/>
        </w:rPr>
      </w:pPr>
      <w:r w:rsidRPr="00785375">
        <w:rPr>
          <w:rFonts w:ascii="Book Antiqua" w:hAnsi="Book Antiqua"/>
          <w:sz w:val="20"/>
          <w:szCs w:val="20"/>
          <w:lang w:val="en-AU"/>
        </w:rPr>
        <w:tab/>
        <w:t>“I have left to last two developments which have already had or may have an impact on the role of the judge. The first is the rediscovery of the fundamental truth – or truism – that the courts are concerned with the administration of justice. There was a time when it was thought that the courts administered the law as distinct from justice. That is not the position today. And judicial concern with the ideal of justice is at bottom one of the reasons why the courts have refined some of the principles of substantive law as well as procedural law.”</w:t>
      </w:r>
    </w:p>
    <w:p w:rsidR="00911E5E" w:rsidRPr="00785375" w:rsidRDefault="00911E5E" w:rsidP="0022424B">
      <w:pPr>
        <w:spacing w:line="360" w:lineRule="auto"/>
        <w:jc w:val="both"/>
        <w:rPr>
          <w:rFonts w:ascii="Book Antiqua" w:hAnsi="Book Antiqua"/>
          <w:sz w:val="22"/>
          <w:szCs w:val="22"/>
          <w:lang w:val="en-AU"/>
        </w:rPr>
      </w:pPr>
    </w:p>
    <w:p w:rsidR="00CB31BF" w:rsidRPr="00785375" w:rsidRDefault="00CB31BF" w:rsidP="0022424B">
      <w:pPr>
        <w:spacing w:line="360" w:lineRule="auto"/>
        <w:jc w:val="both"/>
        <w:rPr>
          <w:rFonts w:ascii="Book Antiqua" w:hAnsi="Book Antiqua"/>
          <w:sz w:val="22"/>
          <w:szCs w:val="22"/>
          <w:lang w:val="en-AU"/>
        </w:rPr>
      </w:pPr>
      <w:r w:rsidRPr="00785375">
        <w:rPr>
          <w:rFonts w:ascii="Book Antiqua" w:hAnsi="Book Antiqua"/>
          <w:sz w:val="22"/>
          <w:szCs w:val="22"/>
          <w:lang w:val="en-AU"/>
        </w:rPr>
        <w:t xml:space="preserve">Section 18 provides that a person to whom the overarching obligations apply must not make a claim, or make a response to a claim, that is frivolous, vexatious, an abuse of process, or does not, on the factual and legal material available to the person at the time of making the claim or responding to the claim, as the case requires, have a proper basis. In tasking practitioners with the obligation to ensure a client’s claim has </w:t>
      </w:r>
      <w:r w:rsidR="00CA1987">
        <w:rPr>
          <w:rFonts w:ascii="Book Antiqua" w:hAnsi="Book Antiqua"/>
          <w:sz w:val="22"/>
          <w:szCs w:val="22"/>
          <w:lang w:val="en-AU"/>
        </w:rPr>
        <w:t>real</w:t>
      </w:r>
      <w:r w:rsidR="00CA1987" w:rsidRPr="00785375">
        <w:rPr>
          <w:rFonts w:ascii="Book Antiqua" w:hAnsi="Book Antiqua"/>
          <w:sz w:val="22"/>
          <w:szCs w:val="22"/>
          <w:lang w:val="en-AU"/>
        </w:rPr>
        <w:t xml:space="preserve"> </w:t>
      </w:r>
      <w:r w:rsidRPr="00785375">
        <w:rPr>
          <w:rFonts w:ascii="Book Antiqua" w:hAnsi="Book Antiqua"/>
          <w:sz w:val="22"/>
          <w:szCs w:val="22"/>
          <w:lang w:val="en-AU"/>
        </w:rPr>
        <w:t>legitimacy</w:t>
      </w:r>
      <w:r w:rsidR="00CA1987">
        <w:rPr>
          <w:rFonts w:ascii="Book Antiqua" w:hAnsi="Book Antiqua"/>
          <w:sz w:val="22"/>
          <w:szCs w:val="22"/>
          <w:lang w:val="en-AU"/>
        </w:rPr>
        <w:t xml:space="preserve"> and is not merely a tactic</w:t>
      </w:r>
      <w:r w:rsidRPr="00785375">
        <w:rPr>
          <w:rFonts w:ascii="Book Antiqua" w:hAnsi="Book Antiqua"/>
          <w:sz w:val="22"/>
          <w:szCs w:val="22"/>
          <w:lang w:val="en-AU"/>
        </w:rPr>
        <w:t xml:space="preserve">, the Act </w:t>
      </w:r>
      <w:r w:rsidR="00A44757" w:rsidRPr="00785375">
        <w:rPr>
          <w:rFonts w:ascii="Book Antiqua" w:hAnsi="Book Antiqua"/>
          <w:sz w:val="22"/>
          <w:szCs w:val="22"/>
          <w:lang w:val="en-AU"/>
        </w:rPr>
        <w:t>seeks to ensure</w:t>
      </w:r>
      <w:r w:rsidRPr="00785375">
        <w:rPr>
          <w:rFonts w:ascii="Book Antiqua" w:hAnsi="Book Antiqua"/>
          <w:sz w:val="22"/>
          <w:szCs w:val="22"/>
          <w:lang w:val="en-AU"/>
        </w:rPr>
        <w:t xml:space="preserve"> that the administration of justice is not subverted or distorted by dishonest, obstructive or inefficient practices.</w:t>
      </w:r>
      <w:r w:rsidRPr="00785375">
        <w:rPr>
          <w:rStyle w:val="FootnoteReference"/>
          <w:rFonts w:ascii="Book Antiqua" w:hAnsi="Book Antiqua"/>
          <w:sz w:val="22"/>
          <w:szCs w:val="22"/>
          <w:lang w:val="en-AU"/>
        </w:rPr>
        <w:footnoteReference w:id="51"/>
      </w:r>
      <w:r w:rsidRPr="00785375">
        <w:rPr>
          <w:rFonts w:ascii="Book Antiqua" w:hAnsi="Book Antiqua"/>
          <w:sz w:val="22"/>
          <w:szCs w:val="22"/>
          <w:lang w:val="en-AU"/>
        </w:rPr>
        <w:t xml:space="preserve"> </w:t>
      </w:r>
    </w:p>
    <w:p w:rsidR="00702F4F" w:rsidRPr="00785375" w:rsidRDefault="00702F4F" w:rsidP="0022424B">
      <w:pPr>
        <w:spacing w:line="360" w:lineRule="auto"/>
        <w:jc w:val="both"/>
        <w:rPr>
          <w:rFonts w:ascii="Book Antiqua" w:hAnsi="Book Antiqua"/>
          <w:sz w:val="22"/>
          <w:szCs w:val="22"/>
          <w:lang w:val="en-AU"/>
        </w:rPr>
      </w:pPr>
    </w:p>
    <w:p w:rsidR="00702F4F" w:rsidRPr="00785375" w:rsidRDefault="00702F4F" w:rsidP="0022424B">
      <w:pPr>
        <w:spacing w:line="360" w:lineRule="auto"/>
        <w:jc w:val="both"/>
        <w:rPr>
          <w:rFonts w:ascii="Book Antiqua" w:hAnsi="Book Antiqua"/>
          <w:sz w:val="22"/>
          <w:szCs w:val="22"/>
          <w:lang w:val="en-AU"/>
        </w:rPr>
      </w:pPr>
      <w:r w:rsidRPr="00785375">
        <w:rPr>
          <w:rFonts w:ascii="Book Antiqua" w:hAnsi="Book Antiqua"/>
          <w:sz w:val="22"/>
          <w:szCs w:val="22"/>
          <w:lang w:val="en-AU"/>
        </w:rPr>
        <w:t>Sections 19 and 20 share a common thread in that they oblige a party to act only in mann</w:t>
      </w:r>
      <w:r w:rsidR="00F643B9" w:rsidRPr="00785375">
        <w:rPr>
          <w:rFonts w:ascii="Book Antiqua" w:hAnsi="Book Antiqua"/>
          <w:sz w:val="22"/>
          <w:szCs w:val="22"/>
          <w:lang w:val="en-AU"/>
        </w:rPr>
        <w:t>er that will help resolve the di</w:t>
      </w:r>
      <w:r w:rsidRPr="00785375">
        <w:rPr>
          <w:rFonts w:ascii="Book Antiqua" w:hAnsi="Book Antiqua"/>
          <w:sz w:val="22"/>
          <w:szCs w:val="22"/>
          <w:lang w:val="en-AU"/>
        </w:rPr>
        <w:t>spute.</w:t>
      </w:r>
      <w:r w:rsidR="00F643B9" w:rsidRPr="00785375">
        <w:rPr>
          <w:rFonts w:ascii="Book Antiqua" w:hAnsi="Book Antiqua"/>
          <w:sz w:val="22"/>
          <w:szCs w:val="22"/>
          <w:lang w:val="en-AU"/>
        </w:rPr>
        <w:t xml:space="preserve"> Section 19 obliges a party not take any steps in a civil proceeding unless the person reasonably believes that the step is necessary to facilitate the resolution or determination of the proceeding</w:t>
      </w:r>
      <w:r w:rsidR="00CA1987">
        <w:rPr>
          <w:rFonts w:ascii="Book Antiqua" w:hAnsi="Book Antiqua"/>
          <w:sz w:val="22"/>
          <w:szCs w:val="22"/>
          <w:lang w:val="en-AU"/>
        </w:rPr>
        <w:t>. Section</w:t>
      </w:r>
      <w:r w:rsidR="000415B4">
        <w:rPr>
          <w:rFonts w:ascii="Book Antiqua" w:hAnsi="Book Antiqua"/>
          <w:sz w:val="22"/>
          <w:szCs w:val="22"/>
          <w:lang w:val="en-AU"/>
        </w:rPr>
        <w:t xml:space="preserve"> </w:t>
      </w:r>
      <w:r w:rsidR="00F643B9" w:rsidRPr="00785375">
        <w:rPr>
          <w:rFonts w:ascii="Book Antiqua" w:hAnsi="Book Antiqua"/>
          <w:sz w:val="22"/>
          <w:szCs w:val="22"/>
          <w:lang w:val="en-AU"/>
        </w:rPr>
        <w:t xml:space="preserve">20 </w:t>
      </w:r>
      <w:r w:rsidR="00CA1987">
        <w:rPr>
          <w:rFonts w:ascii="Book Antiqua" w:hAnsi="Book Antiqua"/>
          <w:sz w:val="22"/>
          <w:szCs w:val="22"/>
          <w:lang w:val="en-AU"/>
        </w:rPr>
        <w:t>requires</w:t>
      </w:r>
      <w:r w:rsidR="00CA1987" w:rsidRPr="00785375">
        <w:rPr>
          <w:rFonts w:ascii="Book Antiqua" w:hAnsi="Book Antiqua"/>
          <w:sz w:val="22"/>
          <w:szCs w:val="22"/>
          <w:lang w:val="en-AU"/>
        </w:rPr>
        <w:t xml:space="preserve"> </w:t>
      </w:r>
      <w:r w:rsidR="00F643B9" w:rsidRPr="00785375">
        <w:rPr>
          <w:rFonts w:ascii="Book Antiqua" w:hAnsi="Book Antiqua"/>
          <w:sz w:val="22"/>
          <w:szCs w:val="22"/>
          <w:lang w:val="en-AU"/>
        </w:rPr>
        <w:t xml:space="preserve">a person to whom the overarching obligations apply </w:t>
      </w:r>
      <w:r w:rsidR="00CA1987">
        <w:rPr>
          <w:rFonts w:ascii="Book Antiqua" w:hAnsi="Book Antiqua"/>
          <w:sz w:val="22"/>
          <w:szCs w:val="22"/>
          <w:lang w:val="en-AU"/>
        </w:rPr>
        <w:t>to</w:t>
      </w:r>
      <w:r w:rsidR="00CA1987" w:rsidRPr="00785375">
        <w:rPr>
          <w:rFonts w:ascii="Book Antiqua" w:hAnsi="Book Antiqua"/>
          <w:sz w:val="22"/>
          <w:szCs w:val="22"/>
          <w:lang w:val="en-AU"/>
        </w:rPr>
        <w:t xml:space="preserve"> </w:t>
      </w:r>
      <w:r w:rsidR="00F643B9" w:rsidRPr="00785375">
        <w:rPr>
          <w:rFonts w:ascii="Book Antiqua" w:hAnsi="Book Antiqua"/>
          <w:sz w:val="22"/>
          <w:szCs w:val="22"/>
          <w:lang w:val="en-AU"/>
        </w:rPr>
        <w:t>cooperate with the parties to a civil proceeding and the court in connection with the conduct of that proceeding.</w:t>
      </w:r>
      <w:r w:rsidRPr="00785375">
        <w:rPr>
          <w:rFonts w:ascii="Book Antiqua" w:hAnsi="Book Antiqua"/>
          <w:sz w:val="22"/>
          <w:szCs w:val="22"/>
          <w:lang w:val="en-AU"/>
        </w:rPr>
        <w:t xml:space="preserve"> </w:t>
      </w:r>
      <w:r w:rsidR="002607EE" w:rsidRPr="00785375">
        <w:rPr>
          <w:rFonts w:ascii="Book Antiqua" w:hAnsi="Book Antiqua"/>
          <w:sz w:val="22"/>
          <w:szCs w:val="22"/>
          <w:lang w:val="en-AU"/>
        </w:rPr>
        <w:t xml:space="preserve">These sections </w:t>
      </w:r>
      <w:r w:rsidR="00CA1987">
        <w:rPr>
          <w:rFonts w:ascii="Book Antiqua" w:hAnsi="Book Antiqua"/>
          <w:sz w:val="22"/>
          <w:szCs w:val="22"/>
          <w:lang w:val="en-AU"/>
        </w:rPr>
        <w:t xml:space="preserve">are indicative of the clear intention of Parliament to effect change in </w:t>
      </w:r>
      <w:r w:rsidR="002607EE" w:rsidRPr="00785375">
        <w:rPr>
          <w:rFonts w:ascii="Book Antiqua" w:hAnsi="Book Antiqua"/>
          <w:sz w:val="22"/>
          <w:szCs w:val="22"/>
          <w:lang w:val="en-AU"/>
        </w:rPr>
        <w:t xml:space="preserve">the conduct of civil litigation </w:t>
      </w:r>
      <w:r w:rsidR="00CA1987">
        <w:rPr>
          <w:rFonts w:ascii="Book Antiqua" w:hAnsi="Book Antiqua"/>
          <w:sz w:val="22"/>
          <w:szCs w:val="22"/>
          <w:lang w:val="en-AU"/>
        </w:rPr>
        <w:t xml:space="preserve">– moving </w:t>
      </w:r>
      <w:r w:rsidR="002607EE" w:rsidRPr="00785375">
        <w:rPr>
          <w:rFonts w:ascii="Book Antiqua" w:hAnsi="Book Antiqua"/>
          <w:sz w:val="22"/>
          <w:szCs w:val="22"/>
          <w:lang w:val="en-AU"/>
        </w:rPr>
        <w:t xml:space="preserve">away from </w:t>
      </w:r>
      <w:r w:rsidR="00CA1987">
        <w:rPr>
          <w:rFonts w:ascii="Book Antiqua" w:hAnsi="Book Antiqua"/>
          <w:sz w:val="22"/>
          <w:szCs w:val="22"/>
          <w:lang w:val="en-AU"/>
        </w:rPr>
        <w:t>conduct</w:t>
      </w:r>
      <w:r w:rsidR="00CA1987" w:rsidRPr="00785375">
        <w:rPr>
          <w:rFonts w:ascii="Book Antiqua" w:hAnsi="Book Antiqua"/>
          <w:sz w:val="22"/>
          <w:szCs w:val="22"/>
          <w:lang w:val="en-AU"/>
        </w:rPr>
        <w:t xml:space="preserve"> </w:t>
      </w:r>
      <w:r w:rsidR="00A44757" w:rsidRPr="00785375">
        <w:rPr>
          <w:rFonts w:ascii="Book Antiqua" w:hAnsi="Book Antiqua"/>
          <w:sz w:val="22"/>
          <w:szCs w:val="22"/>
          <w:lang w:val="en-AU"/>
        </w:rPr>
        <w:t xml:space="preserve">of a merely </w:t>
      </w:r>
      <w:r w:rsidR="002607EE" w:rsidRPr="00785375">
        <w:rPr>
          <w:rFonts w:ascii="Book Antiqua" w:hAnsi="Book Antiqua"/>
          <w:sz w:val="22"/>
          <w:szCs w:val="22"/>
          <w:lang w:val="en-AU"/>
        </w:rPr>
        <w:t>adversarial</w:t>
      </w:r>
      <w:r w:rsidR="000415B4">
        <w:rPr>
          <w:rFonts w:ascii="Book Antiqua" w:hAnsi="Book Antiqua"/>
          <w:sz w:val="22"/>
          <w:szCs w:val="22"/>
          <w:lang w:val="en-AU"/>
        </w:rPr>
        <w:t>, combat</w:t>
      </w:r>
      <w:r w:rsidR="00A44757" w:rsidRPr="00785375">
        <w:rPr>
          <w:rFonts w:ascii="Book Antiqua" w:hAnsi="Book Antiqua"/>
          <w:sz w:val="22"/>
          <w:szCs w:val="22"/>
          <w:lang w:val="en-AU"/>
        </w:rPr>
        <w:t>ive</w:t>
      </w:r>
      <w:r w:rsidR="002607EE" w:rsidRPr="00785375">
        <w:rPr>
          <w:rFonts w:ascii="Book Antiqua" w:hAnsi="Book Antiqua"/>
          <w:sz w:val="22"/>
          <w:szCs w:val="22"/>
          <w:lang w:val="en-AU"/>
        </w:rPr>
        <w:t xml:space="preserve"> nature towards </w:t>
      </w:r>
      <w:r w:rsidR="00CA1987">
        <w:rPr>
          <w:rFonts w:ascii="Book Antiqua" w:hAnsi="Book Antiqua"/>
          <w:sz w:val="22"/>
          <w:szCs w:val="22"/>
          <w:lang w:val="en-AU"/>
        </w:rPr>
        <w:t>conduct</w:t>
      </w:r>
      <w:r w:rsidR="00CA1987" w:rsidRPr="00785375">
        <w:rPr>
          <w:rFonts w:ascii="Book Antiqua" w:hAnsi="Book Antiqua"/>
          <w:sz w:val="22"/>
          <w:szCs w:val="22"/>
          <w:lang w:val="en-AU"/>
        </w:rPr>
        <w:t xml:space="preserve"> </w:t>
      </w:r>
      <w:r w:rsidR="002607EE" w:rsidRPr="00785375">
        <w:rPr>
          <w:rFonts w:ascii="Book Antiqua" w:hAnsi="Book Antiqua"/>
          <w:sz w:val="22"/>
          <w:szCs w:val="22"/>
          <w:lang w:val="en-AU"/>
        </w:rPr>
        <w:t xml:space="preserve">centred </w:t>
      </w:r>
      <w:r w:rsidR="00CA1987">
        <w:rPr>
          <w:rFonts w:ascii="Book Antiqua" w:hAnsi="Book Antiqua"/>
          <w:sz w:val="22"/>
          <w:szCs w:val="22"/>
          <w:lang w:val="en-AU"/>
        </w:rPr>
        <w:t>on</w:t>
      </w:r>
      <w:r w:rsidR="00CA1987" w:rsidRPr="00785375">
        <w:rPr>
          <w:rFonts w:ascii="Book Antiqua" w:hAnsi="Book Antiqua"/>
          <w:sz w:val="22"/>
          <w:szCs w:val="22"/>
          <w:lang w:val="en-AU"/>
        </w:rPr>
        <w:t xml:space="preserve"> </w:t>
      </w:r>
      <w:r w:rsidR="002607EE" w:rsidRPr="00785375">
        <w:rPr>
          <w:rFonts w:ascii="Book Antiqua" w:hAnsi="Book Antiqua"/>
          <w:sz w:val="22"/>
          <w:szCs w:val="22"/>
          <w:lang w:val="en-AU"/>
        </w:rPr>
        <w:t xml:space="preserve">parties working together </w:t>
      </w:r>
      <w:r w:rsidR="00CA1987">
        <w:rPr>
          <w:rFonts w:ascii="Book Antiqua" w:hAnsi="Book Antiqua"/>
          <w:sz w:val="22"/>
          <w:szCs w:val="22"/>
          <w:lang w:val="en-AU"/>
        </w:rPr>
        <w:t xml:space="preserve">constructively </w:t>
      </w:r>
      <w:r w:rsidR="002607EE" w:rsidRPr="00785375">
        <w:rPr>
          <w:rFonts w:ascii="Book Antiqua" w:hAnsi="Book Antiqua"/>
          <w:sz w:val="22"/>
          <w:szCs w:val="22"/>
          <w:lang w:val="en-AU"/>
        </w:rPr>
        <w:t>to resolve the dispute efficiently and expeditiously.</w:t>
      </w:r>
    </w:p>
    <w:p w:rsidR="00911E5E" w:rsidRPr="00785375" w:rsidRDefault="00CB31BF" w:rsidP="0022424B">
      <w:pPr>
        <w:spacing w:line="360" w:lineRule="auto"/>
        <w:jc w:val="both"/>
        <w:rPr>
          <w:rFonts w:ascii="Book Antiqua" w:hAnsi="Book Antiqua"/>
          <w:sz w:val="22"/>
          <w:szCs w:val="22"/>
          <w:lang w:val="en-AU"/>
        </w:rPr>
      </w:pPr>
      <w:r w:rsidRPr="00785375">
        <w:rPr>
          <w:rFonts w:ascii="Book Antiqua" w:hAnsi="Book Antiqua"/>
          <w:sz w:val="22"/>
          <w:szCs w:val="22"/>
          <w:lang w:val="en-AU"/>
        </w:rPr>
        <w:t xml:space="preserve"> </w:t>
      </w:r>
    </w:p>
    <w:p w:rsidR="00B65ECC" w:rsidRPr="00785375" w:rsidRDefault="002607EE" w:rsidP="0022424B">
      <w:pPr>
        <w:spacing w:line="360" w:lineRule="auto"/>
        <w:jc w:val="both"/>
        <w:rPr>
          <w:rFonts w:ascii="Book Antiqua" w:hAnsi="Book Antiqua"/>
          <w:sz w:val="22"/>
          <w:szCs w:val="22"/>
          <w:lang w:val="en-AU"/>
        </w:rPr>
      </w:pPr>
      <w:r w:rsidRPr="00785375">
        <w:rPr>
          <w:rFonts w:ascii="Book Antiqua" w:hAnsi="Book Antiqua"/>
          <w:sz w:val="22"/>
          <w:szCs w:val="22"/>
          <w:lang w:val="en-AU"/>
        </w:rPr>
        <w:t xml:space="preserve">Section 21 shares </w:t>
      </w:r>
      <w:r w:rsidR="00B65ECC" w:rsidRPr="00785375">
        <w:rPr>
          <w:rFonts w:ascii="Book Antiqua" w:hAnsi="Book Antiqua"/>
          <w:sz w:val="22"/>
          <w:szCs w:val="22"/>
          <w:lang w:val="en-AU"/>
        </w:rPr>
        <w:t>its philosophical basis with s 17 – and to a lesser extent, s 20 – by requiring parties not to engage in conduct which is misleading or deceptive, or that is likely to mislead to deceive.</w:t>
      </w:r>
    </w:p>
    <w:p w:rsidR="00B65ECC" w:rsidRPr="00785375" w:rsidRDefault="00B65ECC" w:rsidP="0022424B">
      <w:pPr>
        <w:spacing w:line="360" w:lineRule="auto"/>
        <w:jc w:val="both"/>
        <w:rPr>
          <w:rFonts w:ascii="Book Antiqua" w:hAnsi="Book Antiqua"/>
          <w:sz w:val="22"/>
          <w:szCs w:val="22"/>
          <w:lang w:val="en-AU"/>
        </w:rPr>
      </w:pPr>
    </w:p>
    <w:p w:rsidR="002607EE" w:rsidRPr="00785375" w:rsidRDefault="0021459D" w:rsidP="0022424B">
      <w:pPr>
        <w:spacing w:line="360" w:lineRule="auto"/>
        <w:jc w:val="both"/>
        <w:rPr>
          <w:rFonts w:ascii="Book Antiqua" w:hAnsi="Book Antiqua"/>
          <w:sz w:val="22"/>
          <w:szCs w:val="22"/>
          <w:lang w:val="en-AU"/>
        </w:rPr>
      </w:pPr>
      <w:r w:rsidRPr="00785375">
        <w:rPr>
          <w:rFonts w:ascii="Book Antiqua" w:hAnsi="Book Antiqua"/>
          <w:sz w:val="22"/>
          <w:szCs w:val="22"/>
          <w:lang w:val="en-AU"/>
        </w:rPr>
        <w:t xml:space="preserve">Sections 22 and 23 are drafted in such a manner as to allow a degree of overlap. Section 22 provides that a person to whom the overarching obligations apply must use reasonable endeavours to resolve a dispute by agreement, including, if appropriate, by appropriate dispute resolution. If the dispute cannot be resolved, s 23 provides a less onerous obligation to use reasonable endeavours to at least resolve by agreement any issues in dispute which can be resolved in that way, and narrow the scope of the remaining issues in dispute. Each of these two sections contains the caveat that a party is absolved </w:t>
      </w:r>
      <w:r w:rsidR="00A44757" w:rsidRPr="00785375">
        <w:rPr>
          <w:rFonts w:ascii="Book Antiqua" w:hAnsi="Book Antiqua"/>
          <w:sz w:val="22"/>
          <w:szCs w:val="22"/>
          <w:lang w:val="en-AU"/>
        </w:rPr>
        <w:t>from</w:t>
      </w:r>
      <w:r w:rsidRPr="00785375">
        <w:rPr>
          <w:rFonts w:ascii="Book Antiqua" w:hAnsi="Book Antiqua"/>
          <w:sz w:val="22"/>
          <w:szCs w:val="22"/>
          <w:lang w:val="en-AU"/>
        </w:rPr>
        <w:t xml:space="preserve"> fulfilling these obligations if it is not in the interests of justice to uphold them, or if the dispute is of such a nature tha</w:t>
      </w:r>
      <w:r w:rsidR="000415B4">
        <w:rPr>
          <w:rFonts w:ascii="Book Antiqua" w:hAnsi="Book Antiqua"/>
          <w:sz w:val="22"/>
          <w:szCs w:val="22"/>
          <w:lang w:val="en-AU"/>
        </w:rPr>
        <w:t>t only judicial determination is</w:t>
      </w:r>
      <w:r w:rsidRPr="00785375">
        <w:rPr>
          <w:rFonts w:ascii="Book Antiqua" w:hAnsi="Book Antiqua"/>
          <w:sz w:val="22"/>
          <w:szCs w:val="22"/>
          <w:lang w:val="en-AU"/>
        </w:rPr>
        <w:t xml:space="preserve"> appropriate.</w:t>
      </w:r>
    </w:p>
    <w:p w:rsidR="0022424B" w:rsidRPr="00785375" w:rsidRDefault="0022424B" w:rsidP="0022424B">
      <w:pPr>
        <w:spacing w:line="360" w:lineRule="auto"/>
        <w:jc w:val="both"/>
        <w:rPr>
          <w:rFonts w:ascii="Book Antiqua" w:hAnsi="Book Antiqua"/>
          <w:sz w:val="22"/>
          <w:szCs w:val="22"/>
          <w:lang w:val="en-AU"/>
        </w:rPr>
      </w:pPr>
    </w:p>
    <w:p w:rsidR="0022424B" w:rsidRPr="00D27522" w:rsidRDefault="0022424B" w:rsidP="0022424B">
      <w:pPr>
        <w:spacing w:line="360" w:lineRule="auto"/>
        <w:jc w:val="both"/>
        <w:rPr>
          <w:rFonts w:ascii="Book Antiqua" w:hAnsi="Book Antiqua"/>
          <w:sz w:val="22"/>
          <w:szCs w:val="22"/>
          <w:lang w:val="en-AU"/>
        </w:rPr>
      </w:pPr>
      <w:r w:rsidRPr="00785375">
        <w:rPr>
          <w:rFonts w:ascii="Book Antiqua" w:hAnsi="Book Antiqua"/>
          <w:sz w:val="22"/>
          <w:szCs w:val="22"/>
          <w:lang w:val="en-AU"/>
        </w:rPr>
        <w:t>For legal practitioners, if any inconsistency arises between the overarching obligations and the duties and obligations to a client the overarching obligations prevail.</w:t>
      </w:r>
      <w:r w:rsidRPr="00D27522">
        <w:rPr>
          <w:rFonts w:ascii="Book Antiqua" w:hAnsi="Book Antiqua"/>
          <w:sz w:val="22"/>
          <w:szCs w:val="22"/>
          <w:vertAlign w:val="superscript"/>
          <w:lang w:val="en-AU"/>
        </w:rPr>
        <w:footnoteReference w:id="52"/>
      </w:r>
      <w:r w:rsidRPr="00D27522">
        <w:rPr>
          <w:rFonts w:ascii="Book Antiqua" w:hAnsi="Book Antiqua"/>
          <w:sz w:val="22"/>
          <w:szCs w:val="22"/>
          <w:lang w:val="en-AU"/>
        </w:rPr>
        <w:t xml:space="preserve"> The overarching obligations must be complied with despite any obligation the legal practitioner or the law practice has to act in accordance with the instructions or wishes of the client.</w:t>
      </w:r>
      <w:r w:rsidRPr="00D27522">
        <w:rPr>
          <w:rFonts w:ascii="Book Antiqua" w:hAnsi="Book Antiqua"/>
          <w:sz w:val="22"/>
          <w:szCs w:val="22"/>
          <w:vertAlign w:val="superscript"/>
          <w:lang w:val="en-AU"/>
        </w:rPr>
        <w:footnoteReference w:id="53"/>
      </w:r>
      <w:r w:rsidRPr="00D27522">
        <w:rPr>
          <w:rFonts w:ascii="Book Antiqua" w:hAnsi="Book Antiqua"/>
          <w:sz w:val="22"/>
          <w:szCs w:val="22"/>
          <w:lang w:val="en-AU"/>
        </w:rPr>
        <w:t xml:space="preserve"> For example, if a party makes an application for a purpose in contravention of the overarching obligations and a solicitor complies with the instructions, the solicitor may also be in co</w:t>
      </w:r>
      <w:r w:rsidR="002072FF">
        <w:rPr>
          <w:rFonts w:ascii="Book Antiqua" w:hAnsi="Book Antiqua"/>
          <w:sz w:val="22"/>
          <w:szCs w:val="22"/>
          <w:lang w:val="en-AU"/>
        </w:rPr>
        <w:t>ntravention of the obligations.</w:t>
      </w:r>
    </w:p>
    <w:p w:rsidR="00D540AC" w:rsidRPr="00D27522" w:rsidRDefault="00D540AC" w:rsidP="001C1BB0">
      <w:pPr>
        <w:spacing w:line="360" w:lineRule="auto"/>
        <w:jc w:val="both"/>
        <w:rPr>
          <w:rFonts w:ascii="Book Antiqua" w:hAnsi="Book Antiqua"/>
          <w:sz w:val="22"/>
          <w:szCs w:val="22"/>
          <w:lang w:val="en-AU"/>
        </w:rPr>
      </w:pPr>
    </w:p>
    <w:p w:rsidR="005213F9" w:rsidRPr="00D27522" w:rsidRDefault="005213F9"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I now turn to consider in greater detail a recent decision of the Court of Appeal which marks a definitive point in the way in which the overarching obligations under the Act are to be</w:t>
      </w:r>
      <w:r w:rsidR="00BA30B0" w:rsidRPr="00D27522">
        <w:rPr>
          <w:rFonts w:ascii="Book Antiqua" w:hAnsi="Book Antiqua"/>
          <w:sz w:val="22"/>
          <w:szCs w:val="22"/>
          <w:lang w:val="en-AU"/>
        </w:rPr>
        <w:t xml:space="preserve"> approached and</w:t>
      </w:r>
      <w:r w:rsidRPr="00D27522">
        <w:rPr>
          <w:rFonts w:ascii="Book Antiqua" w:hAnsi="Book Antiqua"/>
          <w:sz w:val="22"/>
          <w:szCs w:val="22"/>
          <w:lang w:val="en-AU"/>
        </w:rPr>
        <w:t xml:space="preserve"> enforced.</w:t>
      </w:r>
    </w:p>
    <w:p w:rsidR="00911E5E" w:rsidRPr="00D27522" w:rsidRDefault="00911E5E" w:rsidP="001C1BB0">
      <w:pPr>
        <w:spacing w:line="360" w:lineRule="auto"/>
        <w:jc w:val="both"/>
        <w:rPr>
          <w:rFonts w:ascii="Book Antiqua" w:hAnsi="Book Antiqua"/>
          <w:b/>
          <w:sz w:val="22"/>
          <w:szCs w:val="22"/>
          <w:u w:val="single"/>
          <w:lang w:val="en-AU"/>
        </w:rPr>
      </w:pPr>
    </w:p>
    <w:p w:rsidR="00317269" w:rsidRPr="00043CB7" w:rsidRDefault="00D11DBD" w:rsidP="00043CB7">
      <w:pPr>
        <w:rPr>
          <w:rFonts w:ascii="Book Antiqua" w:hAnsi="Book Antiqua"/>
          <w:b/>
          <w:sz w:val="22"/>
          <w:szCs w:val="22"/>
          <w:u w:val="single"/>
          <w:lang w:val="en-AU"/>
        </w:rPr>
      </w:pPr>
      <w:r>
        <w:rPr>
          <w:rFonts w:ascii="Book Antiqua" w:hAnsi="Book Antiqua"/>
          <w:b/>
          <w:sz w:val="22"/>
          <w:szCs w:val="22"/>
          <w:u w:val="single"/>
          <w:lang w:val="en-AU"/>
        </w:rPr>
        <w:br w:type="page"/>
      </w:r>
      <w:r w:rsidR="00911E5E" w:rsidRPr="00D11DBD">
        <w:rPr>
          <w:rFonts w:ascii="Book Antiqua" w:hAnsi="Book Antiqua"/>
          <w:b/>
          <w:u w:val="single"/>
          <w:lang w:val="en-AU"/>
        </w:rPr>
        <w:t>The Oswal Proceedings</w:t>
      </w:r>
    </w:p>
    <w:p w:rsidR="002F38A4" w:rsidRPr="00D27522" w:rsidRDefault="002F38A4" w:rsidP="001C1BB0">
      <w:pPr>
        <w:spacing w:line="360" w:lineRule="auto"/>
        <w:jc w:val="both"/>
        <w:rPr>
          <w:rFonts w:ascii="Book Antiqua" w:hAnsi="Book Antiqua"/>
          <w:sz w:val="22"/>
          <w:szCs w:val="22"/>
          <w:lang w:val="en-AU"/>
        </w:rPr>
      </w:pPr>
    </w:p>
    <w:p w:rsidR="002F38A4" w:rsidRPr="00D27522" w:rsidRDefault="000E1EDE"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 xml:space="preserve">On 27 November of last year, the statutory regime and the obligations imposed by the </w:t>
      </w:r>
      <w:r w:rsidR="005A346F" w:rsidRPr="00D27522">
        <w:rPr>
          <w:rFonts w:ascii="Book Antiqua" w:hAnsi="Book Antiqua"/>
          <w:sz w:val="22"/>
          <w:szCs w:val="22"/>
          <w:lang w:val="en-AU"/>
        </w:rPr>
        <w:t xml:space="preserve">Act </w:t>
      </w:r>
      <w:r w:rsidRPr="00D27522">
        <w:rPr>
          <w:rFonts w:ascii="Book Antiqua" w:hAnsi="Book Antiqua"/>
          <w:sz w:val="22"/>
          <w:szCs w:val="22"/>
          <w:lang w:val="en-AU"/>
        </w:rPr>
        <w:t>were considered in detail at the appellate level for the first time</w:t>
      </w:r>
      <w:r w:rsidR="005A346F" w:rsidRPr="00D27522">
        <w:rPr>
          <w:rFonts w:ascii="Book Antiqua" w:hAnsi="Book Antiqua"/>
          <w:sz w:val="22"/>
          <w:szCs w:val="22"/>
          <w:lang w:val="en-AU"/>
        </w:rPr>
        <w:t xml:space="preserve"> when the Court of Appeal handed down judgment in the </w:t>
      </w:r>
      <w:r w:rsidR="005A346F" w:rsidRPr="00D27522">
        <w:rPr>
          <w:rFonts w:ascii="Book Antiqua" w:hAnsi="Book Antiqua"/>
          <w:i/>
          <w:sz w:val="22"/>
          <w:szCs w:val="22"/>
          <w:lang w:val="en-AU"/>
        </w:rPr>
        <w:t>Oswal Proceedings</w:t>
      </w:r>
      <w:r w:rsidRPr="00D27522">
        <w:rPr>
          <w:rFonts w:ascii="Book Antiqua" w:hAnsi="Book Antiqua"/>
          <w:sz w:val="22"/>
          <w:szCs w:val="22"/>
          <w:lang w:val="en-AU"/>
        </w:rPr>
        <w:t>. Following the publication of the Court’s reasons for refusing an application for leave to appeal orders from a Trial Division Judge which had set aside the order of an Associate Judge for security for costs, the Court then</w:t>
      </w:r>
      <w:r w:rsidR="00CB3B44" w:rsidRPr="00D27522">
        <w:rPr>
          <w:rFonts w:ascii="Book Antiqua" w:hAnsi="Book Antiqua"/>
          <w:sz w:val="22"/>
          <w:szCs w:val="22"/>
          <w:lang w:val="en-AU"/>
        </w:rPr>
        <w:t xml:space="preserve"> “requested the parties to address </w:t>
      </w:r>
      <w:r w:rsidRPr="00D27522">
        <w:rPr>
          <w:rFonts w:ascii="Book Antiqua" w:hAnsi="Book Antiqua"/>
          <w:sz w:val="22"/>
          <w:szCs w:val="22"/>
          <w:lang w:val="en-AU"/>
        </w:rPr>
        <w:t xml:space="preserve">the question of whether in the conduct of the leave application there had been a breach by any party of their overarching obligation under the </w:t>
      </w:r>
      <w:r w:rsidRPr="00D27522">
        <w:rPr>
          <w:rFonts w:ascii="Book Antiqua" w:hAnsi="Book Antiqua"/>
          <w:i/>
          <w:sz w:val="22"/>
          <w:szCs w:val="22"/>
          <w:lang w:val="en-AU"/>
        </w:rPr>
        <w:t>Civil Procedure Act</w:t>
      </w:r>
      <w:r w:rsidRPr="00D27522">
        <w:rPr>
          <w:rFonts w:ascii="Book Antiqua" w:hAnsi="Book Antiqua"/>
          <w:sz w:val="22"/>
          <w:szCs w:val="22"/>
          <w:lang w:val="en-AU"/>
        </w:rPr>
        <w:t xml:space="preserve"> 2010 to use reasonable endeavours to ensure that the costs incurred in the proceeding were reasonable and proportionate to the complexity and importance of the issues and the sums in dispute.”</w:t>
      </w:r>
      <w:r w:rsidRPr="00D27522">
        <w:rPr>
          <w:rStyle w:val="FootnoteReference"/>
          <w:rFonts w:ascii="Book Antiqua" w:hAnsi="Book Antiqua"/>
          <w:sz w:val="22"/>
          <w:szCs w:val="22"/>
          <w:lang w:val="en-AU"/>
        </w:rPr>
        <w:footnoteReference w:id="54"/>
      </w:r>
      <w:r w:rsidRPr="00D27522">
        <w:rPr>
          <w:rFonts w:ascii="Book Antiqua" w:hAnsi="Book Antiqua"/>
          <w:sz w:val="22"/>
          <w:szCs w:val="22"/>
          <w:lang w:val="en-AU"/>
        </w:rPr>
        <w:t xml:space="preserve"> </w:t>
      </w:r>
    </w:p>
    <w:p w:rsidR="00D41E64" w:rsidRPr="00D27522" w:rsidRDefault="00D41E64"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br/>
        <w:t>Collectively</w:t>
      </w:r>
      <w:r w:rsidR="00596380">
        <w:rPr>
          <w:rFonts w:ascii="Book Antiqua" w:hAnsi="Book Antiqua"/>
          <w:sz w:val="22"/>
          <w:szCs w:val="22"/>
          <w:lang w:val="en-AU"/>
        </w:rPr>
        <w:t>,</w:t>
      </w:r>
      <w:r w:rsidRPr="00D27522">
        <w:rPr>
          <w:rFonts w:ascii="Book Antiqua" w:hAnsi="Book Antiqua"/>
          <w:sz w:val="22"/>
          <w:szCs w:val="22"/>
          <w:lang w:val="en-AU"/>
        </w:rPr>
        <w:t xml:space="preserve"> across the four related proceedings, six separate parties were involved – two of whom were represented by the same counsel</w:t>
      </w:r>
      <w:r w:rsidR="00121B53" w:rsidRPr="00D27522">
        <w:rPr>
          <w:rFonts w:ascii="Book Antiqua" w:hAnsi="Book Antiqua"/>
          <w:sz w:val="22"/>
          <w:szCs w:val="22"/>
          <w:lang w:val="en-AU"/>
        </w:rPr>
        <w:t xml:space="preserve"> at the application for leave to appeal</w:t>
      </w:r>
      <w:r w:rsidRPr="00D27522">
        <w:rPr>
          <w:rFonts w:ascii="Book Antiqua" w:hAnsi="Book Antiqua"/>
          <w:sz w:val="22"/>
          <w:szCs w:val="22"/>
          <w:lang w:val="en-AU"/>
        </w:rPr>
        <w:t>. The application for leave</w:t>
      </w:r>
      <w:r w:rsidR="00121B53" w:rsidRPr="00D27522">
        <w:rPr>
          <w:rFonts w:ascii="Book Antiqua" w:hAnsi="Book Antiqua"/>
          <w:sz w:val="22"/>
          <w:szCs w:val="22"/>
          <w:lang w:val="en-AU"/>
        </w:rPr>
        <w:t xml:space="preserve"> to appeal was heard in one day.</w:t>
      </w:r>
      <w:r w:rsidRPr="00D27522">
        <w:rPr>
          <w:rFonts w:ascii="Book Antiqua" w:hAnsi="Book Antiqua"/>
          <w:sz w:val="22"/>
          <w:szCs w:val="22"/>
          <w:lang w:val="en-AU"/>
        </w:rPr>
        <w:t xml:space="preserve"> </w:t>
      </w:r>
      <w:r w:rsidR="00121B53" w:rsidRPr="00D27522">
        <w:rPr>
          <w:rFonts w:ascii="Book Antiqua" w:hAnsi="Book Antiqua"/>
          <w:sz w:val="22"/>
          <w:szCs w:val="22"/>
          <w:lang w:val="en-AU"/>
        </w:rPr>
        <w:t>F</w:t>
      </w:r>
      <w:r w:rsidRPr="00D27522">
        <w:rPr>
          <w:rFonts w:ascii="Book Antiqua" w:hAnsi="Book Antiqua"/>
          <w:sz w:val="22"/>
          <w:szCs w:val="22"/>
          <w:lang w:val="en-AU"/>
        </w:rPr>
        <w:t>ive senior counsel, six junior counsel and five firms of solicitors</w:t>
      </w:r>
      <w:r w:rsidR="00682C0B" w:rsidRPr="00D27522">
        <w:rPr>
          <w:rFonts w:ascii="Book Antiqua" w:hAnsi="Book Antiqua"/>
          <w:sz w:val="22"/>
          <w:szCs w:val="22"/>
          <w:lang w:val="en-AU"/>
        </w:rPr>
        <w:t xml:space="preserve"> </w:t>
      </w:r>
      <w:r w:rsidR="00121B53" w:rsidRPr="00D27522">
        <w:rPr>
          <w:rFonts w:ascii="Book Antiqua" w:hAnsi="Book Antiqua"/>
          <w:sz w:val="22"/>
          <w:szCs w:val="22"/>
          <w:lang w:val="en-AU"/>
        </w:rPr>
        <w:t xml:space="preserve">were present at the hearing </w:t>
      </w:r>
      <w:r w:rsidR="00682C0B" w:rsidRPr="00D27522">
        <w:rPr>
          <w:rFonts w:ascii="Book Antiqua" w:hAnsi="Book Antiqua"/>
          <w:sz w:val="22"/>
          <w:szCs w:val="22"/>
          <w:lang w:val="en-AU"/>
        </w:rPr>
        <w:t>representing the parties. In addition to the notices of appeal and the parties’ written cases, the parties between them filed six lever arch folders of material.</w:t>
      </w:r>
    </w:p>
    <w:p w:rsidR="00300C98" w:rsidRPr="00D27522" w:rsidRDefault="00300C98" w:rsidP="001C1BB0">
      <w:pPr>
        <w:spacing w:line="360" w:lineRule="auto"/>
        <w:jc w:val="both"/>
        <w:rPr>
          <w:rFonts w:ascii="Book Antiqua" w:hAnsi="Book Antiqua"/>
          <w:sz w:val="22"/>
          <w:szCs w:val="22"/>
          <w:lang w:val="en-AU"/>
        </w:rPr>
      </w:pPr>
    </w:p>
    <w:p w:rsidR="00D41E64" w:rsidRPr="00D27522" w:rsidRDefault="00D41E64"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 xml:space="preserve">In handing down its judgment, the Court addressed two factual questions in focusing on the issue of proportionality. First, whether there was </w:t>
      </w:r>
      <w:r w:rsidR="000415B4">
        <w:rPr>
          <w:rFonts w:ascii="Book Antiqua" w:hAnsi="Book Antiqua"/>
          <w:sz w:val="22"/>
          <w:szCs w:val="22"/>
          <w:lang w:val="en-AU"/>
        </w:rPr>
        <w:t>any over representation of parties</w:t>
      </w:r>
      <w:r w:rsidRPr="00D27522">
        <w:rPr>
          <w:rFonts w:ascii="Book Antiqua" w:hAnsi="Book Antiqua"/>
          <w:sz w:val="22"/>
          <w:szCs w:val="22"/>
          <w:lang w:val="en-AU"/>
        </w:rPr>
        <w:t xml:space="preserve"> by counsel and</w:t>
      </w:r>
      <w:r w:rsidR="00FE4ACC" w:rsidRPr="00D27522">
        <w:rPr>
          <w:rFonts w:ascii="Book Antiqua" w:hAnsi="Book Antiqua"/>
          <w:sz w:val="22"/>
          <w:szCs w:val="22"/>
          <w:lang w:val="en-AU"/>
        </w:rPr>
        <w:t>,</w:t>
      </w:r>
      <w:r w:rsidRPr="00D27522">
        <w:rPr>
          <w:rFonts w:ascii="Book Antiqua" w:hAnsi="Book Antiqua"/>
          <w:sz w:val="22"/>
          <w:szCs w:val="22"/>
          <w:lang w:val="en-AU"/>
        </w:rPr>
        <w:t xml:space="preserve"> second</w:t>
      </w:r>
      <w:r w:rsidR="00FE4ACC" w:rsidRPr="00D27522">
        <w:rPr>
          <w:rFonts w:ascii="Book Antiqua" w:hAnsi="Book Antiqua"/>
          <w:sz w:val="22"/>
          <w:szCs w:val="22"/>
          <w:lang w:val="en-AU"/>
        </w:rPr>
        <w:t>ly</w:t>
      </w:r>
      <w:r w:rsidRPr="00D27522">
        <w:rPr>
          <w:rFonts w:ascii="Book Antiqua" w:hAnsi="Book Antiqua"/>
          <w:sz w:val="22"/>
          <w:szCs w:val="22"/>
          <w:lang w:val="en-AU"/>
        </w:rPr>
        <w:t xml:space="preserve">, </w:t>
      </w:r>
      <w:r w:rsidR="000415B4">
        <w:rPr>
          <w:rFonts w:ascii="Book Antiqua" w:hAnsi="Book Antiqua"/>
          <w:sz w:val="22"/>
          <w:szCs w:val="22"/>
          <w:lang w:val="en-AU"/>
        </w:rPr>
        <w:t>whether the material produced at</w:t>
      </w:r>
      <w:r w:rsidRPr="00D27522">
        <w:rPr>
          <w:rFonts w:ascii="Book Antiqua" w:hAnsi="Book Antiqua"/>
          <w:sz w:val="22"/>
          <w:szCs w:val="22"/>
          <w:lang w:val="en-AU"/>
        </w:rPr>
        <w:t xml:space="preserve"> the hearing of the application for leave to appeal was unnecessary or excessive.</w:t>
      </w:r>
      <w:r w:rsidR="00682C0B" w:rsidRPr="00D27522">
        <w:rPr>
          <w:rFonts w:ascii="Book Antiqua" w:hAnsi="Book Antiqua"/>
          <w:sz w:val="22"/>
          <w:szCs w:val="22"/>
          <w:lang w:val="en-AU"/>
        </w:rPr>
        <w:t xml:space="preserve"> </w:t>
      </w:r>
      <w:r w:rsidR="00DD4D30" w:rsidRPr="00D27522">
        <w:rPr>
          <w:rFonts w:ascii="Book Antiqua" w:hAnsi="Book Antiqua"/>
          <w:sz w:val="22"/>
          <w:szCs w:val="22"/>
          <w:lang w:val="en-AU"/>
        </w:rPr>
        <w:t xml:space="preserve">After considering the overarching purpose of the Act and the court’s obligation to give effect to this purpose, the Court turned its attention to </w:t>
      </w:r>
      <w:r w:rsidR="002B431C" w:rsidRPr="00D27522">
        <w:rPr>
          <w:rFonts w:ascii="Book Antiqua" w:hAnsi="Book Antiqua"/>
          <w:sz w:val="22"/>
          <w:szCs w:val="22"/>
          <w:lang w:val="en-AU"/>
        </w:rPr>
        <w:t>the duty of</w:t>
      </w:r>
      <w:r w:rsidR="00DD4D30" w:rsidRPr="00D27522">
        <w:rPr>
          <w:rFonts w:ascii="Book Antiqua" w:hAnsi="Book Antiqua"/>
          <w:sz w:val="22"/>
          <w:szCs w:val="22"/>
          <w:lang w:val="en-AU"/>
        </w:rPr>
        <w:t xml:space="preserve"> the parties to ensure costs are reasonable and proportionate.</w:t>
      </w:r>
    </w:p>
    <w:p w:rsidR="00DD4D30" w:rsidRPr="00D27522" w:rsidRDefault="00DD4D30" w:rsidP="001C1BB0">
      <w:pPr>
        <w:spacing w:line="360" w:lineRule="auto"/>
        <w:jc w:val="both"/>
        <w:rPr>
          <w:rFonts w:ascii="Book Antiqua" w:hAnsi="Book Antiqua"/>
          <w:sz w:val="22"/>
          <w:szCs w:val="22"/>
          <w:lang w:val="en-AU"/>
        </w:rPr>
      </w:pPr>
    </w:p>
    <w:p w:rsidR="00772F7E" w:rsidRPr="00D27522" w:rsidRDefault="00772F7E"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 xml:space="preserve">Before turning to that issue, however, it is important to </w:t>
      </w:r>
      <w:r w:rsidR="00FE4ACC" w:rsidRPr="00D27522">
        <w:rPr>
          <w:rFonts w:ascii="Book Antiqua" w:hAnsi="Book Antiqua"/>
          <w:sz w:val="22"/>
          <w:szCs w:val="22"/>
          <w:lang w:val="en-AU"/>
        </w:rPr>
        <w:t>highlight the significance</w:t>
      </w:r>
      <w:r w:rsidRPr="00D27522">
        <w:rPr>
          <w:rFonts w:ascii="Book Antiqua" w:hAnsi="Book Antiqua"/>
          <w:sz w:val="22"/>
          <w:szCs w:val="22"/>
          <w:lang w:val="en-AU"/>
        </w:rPr>
        <w:t xml:space="preserve"> </w:t>
      </w:r>
      <w:r w:rsidR="00FE4ACC" w:rsidRPr="00D27522">
        <w:rPr>
          <w:rFonts w:ascii="Book Antiqua" w:hAnsi="Book Antiqua"/>
          <w:sz w:val="22"/>
          <w:szCs w:val="22"/>
          <w:lang w:val="en-AU"/>
        </w:rPr>
        <w:t>of</w:t>
      </w:r>
      <w:r w:rsidRPr="00D27522">
        <w:rPr>
          <w:rFonts w:ascii="Book Antiqua" w:hAnsi="Book Antiqua"/>
          <w:sz w:val="22"/>
          <w:szCs w:val="22"/>
          <w:lang w:val="en-AU"/>
        </w:rPr>
        <w:t xml:space="preserve"> the Court of Appeal requesting the parties to make submissions as to whether they have breached their obligations under the Act.</w:t>
      </w:r>
    </w:p>
    <w:p w:rsidR="006632FE" w:rsidRPr="00D27522" w:rsidRDefault="006632FE" w:rsidP="001C1BB0">
      <w:pPr>
        <w:spacing w:line="360" w:lineRule="auto"/>
        <w:jc w:val="both"/>
        <w:rPr>
          <w:rFonts w:ascii="Book Antiqua" w:hAnsi="Book Antiqua"/>
          <w:sz w:val="22"/>
          <w:szCs w:val="22"/>
          <w:lang w:val="en-AU"/>
        </w:rPr>
      </w:pPr>
    </w:p>
    <w:p w:rsidR="00D11DBD" w:rsidRDefault="00D11DBD">
      <w:pPr>
        <w:rPr>
          <w:rFonts w:ascii="Book Antiqua" w:hAnsi="Book Antiqua"/>
          <w:b/>
          <w:i/>
          <w:sz w:val="22"/>
          <w:szCs w:val="22"/>
          <w:lang w:val="en-AU"/>
        </w:rPr>
      </w:pPr>
      <w:r>
        <w:rPr>
          <w:rFonts w:ascii="Book Antiqua" w:hAnsi="Book Antiqua"/>
          <w:b/>
          <w:i/>
          <w:sz w:val="22"/>
          <w:szCs w:val="22"/>
          <w:lang w:val="en-AU"/>
        </w:rPr>
        <w:br w:type="page"/>
      </w:r>
    </w:p>
    <w:p w:rsidR="00772F7E" w:rsidRPr="00D11DBD" w:rsidRDefault="00772F7E" w:rsidP="001C1BB0">
      <w:pPr>
        <w:spacing w:line="360" w:lineRule="auto"/>
        <w:jc w:val="both"/>
        <w:rPr>
          <w:rFonts w:ascii="Book Antiqua" w:hAnsi="Book Antiqua"/>
          <w:b/>
          <w:i/>
          <w:lang w:val="en-AU"/>
        </w:rPr>
      </w:pPr>
      <w:r w:rsidRPr="00D11DBD">
        <w:rPr>
          <w:rFonts w:ascii="Book Antiqua" w:hAnsi="Book Antiqua"/>
          <w:b/>
          <w:i/>
          <w:lang w:val="en-AU"/>
        </w:rPr>
        <w:t>The role of the Judge in enforcing the practitioner</w:t>
      </w:r>
      <w:r w:rsidR="002431D4" w:rsidRPr="00D11DBD">
        <w:rPr>
          <w:rFonts w:ascii="Book Antiqua" w:hAnsi="Book Antiqua"/>
          <w:b/>
          <w:i/>
          <w:lang w:val="en-AU"/>
        </w:rPr>
        <w:t>’</w:t>
      </w:r>
      <w:r w:rsidRPr="00D11DBD">
        <w:rPr>
          <w:rFonts w:ascii="Book Antiqua" w:hAnsi="Book Antiqua"/>
          <w:b/>
          <w:i/>
          <w:lang w:val="en-AU"/>
        </w:rPr>
        <w:t>s obligation</w:t>
      </w:r>
    </w:p>
    <w:p w:rsidR="004F25D7" w:rsidRPr="00D27522" w:rsidRDefault="004F25D7" w:rsidP="001C1BB0">
      <w:pPr>
        <w:spacing w:line="360" w:lineRule="auto"/>
        <w:jc w:val="both"/>
        <w:rPr>
          <w:rFonts w:ascii="Book Antiqua" w:hAnsi="Book Antiqua"/>
          <w:b/>
          <w:i/>
          <w:sz w:val="22"/>
          <w:szCs w:val="22"/>
          <w:lang w:val="en-AU"/>
        </w:rPr>
      </w:pPr>
    </w:p>
    <w:p w:rsidR="00772F7E" w:rsidRPr="00D27522" w:rsidRDefault="00E72C5B" w:rsidP="00772F7E">
      <w:pPr>
        <w:spacing w:line="360" w:lineRule="auto"/>
        <w:jc w:val="both"/>
        <w:rPr>
          <w:rFonts w:ascii="Book Antiqua" w:hAnsi="Book Antiqua"/>
          <w:sz w:val="22"/>
          <w:szCs w:val="22"/>
          <w:lang w:val="en-AU"/>
        </w:rPr>
      </w:pPr>
      <w:r w:rsidRPr="00D27522">
        <w:rPr>
          <w:rFonts w:ascii="Book Antiqua" w:hAnsi="Book Antiqua"/>
          <w:sz w:val="22"/>
          <w:szCs w:val="22"/>
          <w:lang w:val="en-AU"/>
        </w:rPr>
        <w:t xml:space="preserve">The provisions of the Act – as well </w:t>
      </w:r>
      <w:r w:rsidR="006761EC" w:rsidRPr="00D27522">
        <w:rPr>
          <w:rFonts w:ascii="Book Antiqua" w:hAnsi="Book Antiqua"/>
          <w:sz w:val="22"/>
          <w:szCs w:val="22"/>
          <w:lang w:val="en-AU"/>
        </w:rPr>
        <w:t xml:space="preserve">as </w:t>
      </w:r>
      <w:r w:rsidR="002431D4">
        <w:rPr>
          <w:rFonts w:ascii="Book Antiqua" w:hAnsi="Book Antiqua"/>
          <w:sz w:val="22"/>
          <w:szCs w:val="22"/>
          <w:lang w:val="en-AU"/>
        </w:rPr>
        <w:t>providing</w:t>
      </w:r>
      <w:r w:rsidRPr="00D27522">
        <w:rPr>
          <w:rFonts w:ascii="Book Antiqua" w:hAnsi="Book Antiqua"/>
          <w:sz w:val="22"/>
          <w:szCs w:val="22"/>
          <w:lang w:val="en-AU"/>
        </w:rPr>
        <w:t xml:space="preserve"> a concise restatement of the duties that parties to litigation owe to the courts and to each other – </w:t>
      </w:r>
      <w:r w:rsidR="006761EC" w:rsidRPr="00D27522">
        <w:rPr>
          <w:rFonts w:ascii="Book Antiqua" w:hAnsi="Book Antiqua"/>
          <w:sz w:val="22"/>
          <w:szCs w:val="22"/>
          <w:lang w:val="en-AU"/>
        </w:rPr>
        <w:t>give</w:t>
      </w:r>
      <w:r w:rsidRPr="00D27522">
        <w:rPr>
          <w:rFonts w:ascii="Book Antiqua" w:hAnsi="Book Antiqua"/>
          <w:sz w:val="22"/>
          <w:szCs w:val="22"/>
          <w:lang w:val="en-AU"/>
        </w:rPr>
        <w:t xml:space="preserve"> judges the means to exert greater control over the conduct of the parties and their legal representatives.   </w:t>
      </w:r>
      <w:r w:rsidR="00772F7E" w:rsidRPr="00D27522">
        <w:rPr>
          <w:rFonts w:ascii="Book Antiqua" w:hAnsi="Book Antiqua"/>
          <w:sz w:val="22"/>
          <w:szCs w:val="22"/>
          <w:lang w:val="en-AU"/>
        </w:rPr>
        <w:t>In discussing the nature of the role of judges in common law – as opposed to civil law – jurisdictions, Denning LJ once said:</w:t>
      </w:r>
      <w:r w:rsidR="00772F7E" w:rsidRPr="00D27522">
        <w:rPr>
          <w:rStyle w:val="FootnoteReference"/>
          <w:rFonts w:ascii="Book Antiqua" w:hAnsi="Book Antiqua"/>
          <w:sz w:val="22"/>
          <w:szCs w:val="22"/>
          <w:lang w:val="en-AU"/>
        </w:rPr>
        <w:footnoteReference w:id="55"/>
      </w:r>
    </w:p>
    <w:p w:rsidR="00772F7E" w:rsidRPr="00D27522" w:rsidRDefault="00772F7E" w:rsidP="00772F7E">
      <w:pPr>
        <w:spacing w:line="360" w:lineRule="auto"/>
        <w:jc w:val="both"/>
        <w:rPr>
          <w:rFonts w:ascii="Book Antiqua" w:hAnsi="Book Antiqua"/>
          <w:sz w:val="22"/>
          <w:szCs w:val="22"/>
          <w:lang w:val="en-AU"/>
        </w:rPr>
      </w:pPr>
    </w:p>
    <w:p w:rsidR="00772F7E" w:rsidRPr="00D27522" w:rsidRDefault="00772F7E" w:rsidP="00E511AF">
      <w:pPr>
        <w:ind w:left="1582" w:right="720" w:hanging="142"/>
        <w:jc w:val="both"/>
        <w:rPr>
          <w:rFonts w:ascii="Book Antiqua" w:hAnsi="Book Antiqua"/>
          <w:sz w:val="20"/>
          <w:szCs w:val="20"/>
          <w:lang w:val="en-AU"/>
        </w:rPr>
      </w:pPr>
      <w:r w:rsidRPr="00D27522">
        <w:rPr>
          <w:rFonts w:ascii="Book Antiqua" w:hAnsi="Book Antiqua"/>
          <w:sz w:val="22"/>
          <w:szCs w:val="22"/>
          <w:lang w:val="en-AU"/>
        </w:rPr>
        <w:tab/>
      </w:r>
      <w:r w:rsidRPr="00D27522">
        <w:rPr>
          <w:rFonts w:ascii="Book Antiqua" w:hAnsi="Book Antiqua"/>
          <w:sz w:val="20"/>
          <w:szCs w:val="20"/>
          <w:lang w:val="en-AU"/>
        </w:rPr>
        <w:t>“In the system of trial we have evolved in this country, the judge sits to hear and determine the issues raised by the parties, not to conduct an investigation or examination on behalf of society at large, as happened, we believe in some foreign countries.”</w:t>
      </w:r>
    </w:p>
    <w:p w:rsidR="00772F7E" w:rsidRPr="00D27522" w:rsidRDefault="00772F7E" w:rsidP="001C1BB0">
      <w:pPr>
        <w:spacing w:line="360" w:lineRule="auto"/>
        <w:jc w:val="both"/>
        <w:rPr>
          <w:rFonts w:ascii="Book Antiqua" w:hAnsi="Book Antiqua"/>
          <w:sz w:val="22"/>
          <w:szCs w:val="22"/>
          <w:lang w:val="en-AU"/>
        </w:rPr>
      </w:pPr>
    </w:p>
    <w:p w:rsidR="00772F7E" w:rsidRPr="00D27522" w:rsidRDefault="00D4574B"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As has been recognised by Professor Zuckerman, “[t]he presence of a management infrastructure is not sufficient to deliver the hoped for result. These can be delivered only by managers willing to use the management tools to best effect.”</w:t>
      </w:r>
      <w:r w:rsidRPr="00D27522">
        <w:rPr>
          <w:rStyle w:val="FootnoteReference"/>
          <w:rFonts w:ascii="Book Antiqua" w:hAnsi="Book Antiqua"/>
          <w:sz w:val="22"/>
          <w:szCs w:val="22"/>
          <w:lang w:val="en-AU"/>
        </w:rPr>
        <w:footnoteReference w:id="56"/>
      </w:r>
      <w:r w:rsidRPr="00D27522">
        <w:rPr>
          <w:rFonts w:ascii="Book Antiqua" w:hAnsi="Book Antiqua"/>
          <w:sz w:val="22"/>
          <w:szCs w:val="22"/>
          <w:lang w:val="en-AU"/>
        </w:rPr>
        <w:t xml:space="preserve"> </w:t>
      </w:r>
      <w:r w:rsidR="00772F7E" w:rsidRPr="00D27522">
        <w:rPr>
          <w:rFonts w:ascii="Book Antiqua" w:hAnsi="Book Antiqua"/>
          <w:sz w:val="22"/>
          <w:szCs w:val="22"/>
          <w:lang w:val="en-AU"/>
        </w:rPr>
        <w:t xml:space="preserve">The paramount importance that both the Parliament and the highest Court in this country have placed on adhering to strong case management principles to ensure </w:t>
      </w:r>
      <w:r w:rsidRPr="00D27522">
        <w:rPr>
          <w:rFonts w:ascii="Book Antiqua" w:hAnsi="Book Antiqua"/>
          <w:sz w:val="22"/>
          <w:szCs w:val="22"/>
          <w:lang w:val="en-AU"/>
        </w:rPr>
        <w:t xml:space="preserve">the achievement of the just, efficient, timely and cost-effective resolution of the real issues in dispute, means that these comments of Denning LJ can no longer apply to judges in this country. </w:t>
      </w:r>
      <w:r w:rsidR="00772F7E" w:rsidRPr="00D27522">
        <w:rPr>
          <w:rFonts w:ascii="Book Antiqua" w:hAnsi="Book Antiqua"/>
          <w:sz w:val="22"/>
          <w:szCs w:val="22"/>
          <w:lang w:val="en-AU"/>
        </w:rPr>
        <w:t xml:space="preserve"> </w:t>
      </w:r>
    </w:p>
    <w:p w:rsidR="00772F7E" w:rsidRPr="00D27522" w:rsidRDefault="00772F7E" w:rsidP="001C1BB0">
      <w:pPr>
        <w:spacing w:line="360" w:lineRule="auto"/>
        <w:jc w:val="both"/>
        <w:rPr>
          <w:rFonts w:ascii="Book Antiqua" w:hAnsi="Book Antiqua"/>
          <w:sz w:val="22"/>
          <w:szCs w:val="22"/>
          <w:lang w:val="en-AU"/>
        </w:rPr>
      </w:pPr>
    </w:p>
    <w:p w:rsidR="00FE4ACC" w:rsidRPr="00D27522" w:rsidRDefault="00FE4ACC"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In this context t</w:t>
      </w:r>
      <w:r w:rsidR="00D4574B" w:rsidRPr="00D27522">
        <w:rPr>
          <w:rFonts w:ascii="Book Antiqua" w:hAnsi="Book Antiqua"/>
          <w:sz w:val="22"/>
          <w:szCs w:val="22"/>
          <w:lang w:val="en-AU"/>
        </w:rPr>
        <w:t xml:space="preserve">he Court of Appeal observed </w:t>
      </w:r>
      <w:r w:rsidRPr="00D27522">
        <w:rPr>
          <w:rFonts w:ascii="Book Antiqua" w:hAnsi="Book Antiqua"/>
          <w:sz w:val="22"/>
          <w:szCs w:val="22"/>
          <w:lang w:val="en-AU"/>
        </w:rPr>
        <w:t>that:</w:t>
      </w:r>
    </w:p>
    <w:p w:rsidR="00FE4ACC" w:rsidRPr="00D27522" w:rsidRDefault="00FE4ACC" w:rsidP="001C1BB0">
      <w:pPr>
        <w:spacing w:line="360" w:lineRule="auto"/>
        <w:jc w:val="both"/>
        <w:rPr>
          <w:rFonts w:ascii="Book Antiqua" w:hAnsi="Book Antiqua"/>
          <w:sz w:val="22"/>
          <w:szCs w:val="22"/>
          <w:lang w:val="en-AU"/>
        </w:rPr>
      </w:pPr>
    </w:p>
    <w:p w:rsidR="00D4574B" w:rsidRPr="00D27522" w:rsidRDefault="00D4574B" w:rsidP="00E511AF">
      <w:pPr>
        <w:ind w:left="1440" w:right="720"/>
        <w:jc w:val="both"/>
        <w:rPr>
          <w:rFonts w:ascii="Book Antiqua" w:hAnsi="Book Antiqua"/>
          <w:sz w:val="20"/>
          <w:szCs w:val="20"/>
          <w:lang w:val="en-AU"/>
        </w:rPr>
      </w:pPr>
      <w:r w:rsidRPr="00D27522">
        <w:rPr>
          <w:rFonts w:ascii="Book Antiqua" w:hAnsi="Book Antiqua"/>
          <w:sz w:val="20"/>
          <w:szCs w:val="20"/>
          <w:lang w:val="en-AU"/>
        </w:rPr>
        <w:t>“</w:t>
      </w:r>
      <w:r w:rsidR="00FE4ACC" w:rsidRPr="00D27522">
        <w:rPr>
          <w:rFonts w:ascii="Book Antiqua" w:hAnsi="Book Antiqua"/>
          <w:sz w:val="20"/>
          <w:szCs w:val="20"/>
          <w:lang w:val="en-AU"/>
        </w:rPr>
        <w:t>[S]</w:t>
      </w:r>
      <w:r w:rsidRPr="00D27522">
        <w:rPr>
          <w:rFonts w:ascii="Book Antiqua" w:hAnsi="Book Antiqua"/>
          <w:sz w:val="20"/>
          <w:szCs w:val="20"/>
          <w:lang w:val="en-AU"/>
        </w:rPr>
        <w:t>anctions imposed  for a breach of any overarching provisions have been a rarity at first instance. When no party invites the court to determine whether there has been a breach of the Act, there may be a judicial disinclination to embark upon such an own-motion inquiry for fear that inquiry as to a potential breach may be time consuming and may require the introduction of material that was not before the court as part of the proceeding. Such fears cannot relieve judges of their responsibilities.”</w:t>
      </w:r>
      <w:r w:rsidRPr="00D27522">
        <w:rPr>
          <w:rStyle w:val="FootnoteReference"/>
          <w:rFonts w:ascii="Book Antiqua" w:hAnsi="Book Antiqua"/>
          <w:sz w:val="20"/>
          <w:szCs w:val="20"/>
          <w:lang w:val="en-AU"/>
        </w:rPr>
        <w:footnoteReference w:id="57"/>
      </w:r>
    </w:p>
    <w:p w:rsidR="006632FE" w:rsidRPr="00D27522" w:rsidRDefault="006632FE" w:rsidP="001C1BB0">
      <w:pPr>
        <w:spacing w:line="360" w:lineRule="auto"/>
        <w:jc w:val="both"/>
        <w:rPr>
          <w:rFonts w:ascii="Book Antiqua" w:hAnsi="Book Antiqua"/>
          <w:sz w:val="22"/>
          <w:szCs w:val="22"/>
          <w:lang w:val="en-AU"/>
        </w:rPr>
      </w:pPr>
    </w:p>
    <w:p w:rsidR="006632FE" w:rsidRPr="00D27522" w:rsidRDefault="00FE4ACC"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These comments by the Court of Appeal in regard to the</w:t>
      </w:r>
      <w:r w:rsidR="006632FE" w:rsidRPr="00D27522">
        <w:rPr>
          <w:rFonts w:ascii="Book Antiqua" w:hAnsi="Book Antiqua"/>
          <w:sz w:val="22"/>
          <w:szCs w:val="22"/>
          <w:lang w:val="en-AU"/>
        </w:rPr>
        <w:t xml:space="preserve"> proactive role that judges must take in enforcing the</w:t>
      </w:r>
      <w:r w:rsidR="0069445C" w:rsidRPr="00D27522">
        <w:rPr>
          <w:rFonts w:ascii="Book Antiqua" w:hAnsi="Book Antiqua"/>
          <w:sz w:val="22"/>
          <w:szCs w:val="22"/>
          <w:lang w:val="en-AU"/>
        </w:rPr>
        <w:t xml:space="preserve"> provisions of the Act </w:t>
      </w:r>
      <w:r w:rsidRPr="00D27522">
        <w:rPr>
          <w:rFonts w:ascii="Book Antiqua" w:hAnsi="Book Antiqua"/>
          <w:sz w:val="22"/>
          <w:szCs w:val="22"/>
          <w:lang w:val="en-AU"/>
        </w:rPr>
        <w:t xml:space="preserve">may be seen as a watershed moment for </w:t>
      </w:r>
      <w:r w:rsidR="00485256" w:rsidRPr="00D27522">
        <w:rPr>
          <w:rFonts w:ascii="Book Antiqua" w:hAnsi="Book Antiqua"/>
          <w:sz w:val="22"/>
          <w:szCs w:val="22"/>
          <w:lang w:val="en-AU"/>
        </w:rPr>
        <w:t xml:space="preserve">both practitioners and the judiciary </w:t>
      </w:r>
      <w:r w:rsidR="002431D4">
        <w:rPr>
          <w:rFonts w:ascii="Book Antiqua" w:hAnsi="Book Antiqua"/>
          <w:sz w:val="22"/>
          <w:szCs w:val="22"/>
          <w:lang w:val="en-AU"/>
        </w:rPr>
        <w:t>a</w:t>
      </w:r>
      <w:r w:rsidR="00485256" w:rsidRPr="00D27522">
        <w:rPr>
          <w:rFonts w:ascii="Book Antiqua" w:hAnsi="Book Antiqua"/>
          <w:sz w:val="22"/>
          <w:szCs w:val="22"/>
          <w:lang w:val="en-AU"/>
        </w:rPr>
        <w:t xml:space="preserve">like. For judges, it is a </w:t>
      </w:r>
      <w:r w:rsidR="002431D4">
        <w:rPr>
          <w:rFonts w:ascii="Book Antiqua" w:hAnsi="Book Antiqua"/>
          <w:sz w:val="22"/>
          <w:szCs w:val="22"/>
          <w:lang w:val="en-AU"/>
        </w:rPr>
        <w:t>helpful reaffirmation</w:t>
      </w:r>
      <w:r w:rsidR="00485256" w:rsidRPr="00D27522">
        <w:rPr>
          <w:rFonts w:ascii="Book Antiqua" w:hAnsi="Book Antiqua"/>
          <w:sz w:val="22"/>
          <w:szCs w:val="22"/>
          <w:lang w:val="en-AU"/>
        </w:rPr>
        <w:t xml:space="preserve"> of the</w:t>
      </w:r>
      <w:r w:rsidR="002431D4">
        <w:rPr>
          <w:rFonts w:ascii="Book Antiqua" w:hAnsi="Book Antiqua"/>
          <w:sz w:val="22"/>
          <w:szCs w:val="22"/>
          <w:lang w:val="en-AU"/>
        </w:rPr>
        <w:t>ir</w:t>
      </w:r>
      <w:r w:rsidR="00485256" w:rsidRPr="00D27522">
        <w:rPr>
          <w:rFonts w:ascii="Book Antiqua" w:hAnsi="Book Antiqua"/>
          <w:sz w:val="22"/>
          <w:szCs w:val="22"/>
          <w:lang w:val="en-AU"/>
        </w:rPr>
        <w:t xml:space="preserve"> important responsibilities,</w:t>
      </w:r>
      <w:r w:rsidR="002431D4">
        <w:rPr>
          <w:rFonts w:ascii="Book Antiqua" w:hAnsi="Book Antiqua"/>
          <w:sz w:val="22"/>
          <w:szCs w:val="22"/>
          <w:lang w:val="en-AU"/>
        </w:rPr>
        <w:t xml:space="preserve"> and the critical importance of</w:t>
      </w:r>
      <w:r w:rsidR="00485256" w:rsidRPr="00D27522">
        <w:rPr>
          <w:rFonts w:ascii="Book Antiqua" w:hAnsi="Book Antiqua"/>
          <w:sz w:val="22"/>
          <w:szCs w:val="22"/>
          <w:lang w:val="en-AU"/>
        </w:rPr>
        <w:t xml:space="preserve"> the overarching obligations </w:t>
      </w:r>
      <w:r w:rsidR="002431D4">
        <w:rPr>
          <w:rFonts w:ascii="Book Antiqua" w:hAnsi="Book Antiqua"/>
          <w:sz w:val="22"/>
          <w:szCs w:val="22"/>
          <w:lang w:val="en-AU"/>
        </w:rPr>
        <w:t>for all involved in</w:t>
      </w:r>
      <w:r w:rsidR="00485256" w:rsidRPr="00D27522">
        <w:rPr>
          <w:rFonts w:ascii="Book Antiqua" w:hAnsi="Book Antiqua"/>
          <w:sz w:val="22"/>
          <w:szCs w:val="22"/>
          <w:lang w:val="en-AU"/>
        </w:rPr>
        <w:t xml:space="preserve"> civil litigation. For practitioners, it is a gentle warning of the even greater role judges </w:t>
      </w:r>
      <w:r w:rsidR="002431D4">
        <w:rPr>
          <w:rFonts w:ascii="Book Antiqua" w:hAnsi="Book Antiqua"/>
          <w:sz w:val="22"/>
          <w:szCs w:val="22"/>
          <w:lang w:val="en-AU"/>
        </w:rPr>
        <w:t>must</w:t>
      </w:r>
      <w:r w:rsidR="00485256" w:rsidRPr="00D27522">
        <w:rPr>
          <w:rFonts w:ascii="Book Antiqua" w:hAnsi="Book Antiqua"/>
          <w:sz w:val="22"/>
          <w:szCs w:val="22"/>
          <w:lang w:val="en-AU"/>
        </w:rPr>
        <w:t xml:space="preserve"> play in closely managing civil proceedings – using all the means at their disposal – to ensure that the overarching purpose of the Act is achieved.</w:t>
      </w:r>
    </w:p>
    <w:p w:rsidR="00D4574B" w:rsidRPr="00D27522" w:rsidRDefault="00D4574B" w:rsidP="001C1BB0">
      <w:pPr>
        <w:spacing w:line="360" w:lineRule="auto"/>
        <w:jc w:val="both"/>
        <w:rPr>
          <w:rFonts w:ascii="Book Antiqua" w:hAnsi="Book Antiqua"/>
          <w:sz w:val="22"/>
          <w:szCs w:val="22"/>
          <w:lang w:val="en-AU"/>
        </w:rPr>
      </w:pPr>
    </w:p>
    <w:p w:rsidR="002B431C" w:rsidRPr="00D11DBD" w:rsidRDefault="002B431C" w:rsidP="001C1BB0">
      <w:pPr>
        <w:spacing w:line="360" w:lineRule="auto"/>
        <w:jc w:val="both"/>
        <w:rPr>
          <w:rFonts w:ascii="Book Antiqua" w:hAnsi="Book Antiqua"/>
          <w:b/>
          <w:i/>
          <w:lang w:val="en-AU"/>
        </w:rPr>
      </w:pPr>
      <w:r w:rsidRPr="00D11DBD">
        <w:rPr>
          <w:rFonts w:ascii="Book Antiqua" w:hAnsi="Book Antiqua"/>
          <w:b/>
          <w:i/>
          <w:lang w:val="en-AU"/>
        </w:rPr>
        <w:t>The obligation to ensure costs are reasonable and proportionate</w:t>
      </w:r>
    </w:p>
    <w:p w:rsidR="002B431C" w:rsidRPr="00D27522" w:rsidRDefault="002B431C" w:rsidP="001C1BB0">
      <w:pPr>
        <w:spacing w:line="360" w:lineRule="auto"/>
        <w:jc w:val="both"/>
        <w:rPr>
          <w:rFonts w:ascii="Book Antiqua" w:hAnsi="Book Antiqua"/>
          <w:sz w:val="22"/>
          <w:szCs w:val="22"/>
          <w:lang w:val="en-AU"/>
        </w:rPr>
      </w:pPr>
    </w:p>
    <w:p w:rsidR="00C21E01" w:rsidRPr="00D27522" w:rsidRDefault="00C21E01"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Section 24 provides that a person to whom the overarching obligations apply must use reasonable endeavours to ensure that the legal costs and other costs incurred in connection with the civil proceeding are reasonable and proportionate, having regard to the complexity or importance of the issues in dispute, as well as to the amount that is in dispute.</w:t>
      </w:r>
    </w:p>
    <w:p w:rsidR="00C21E01" w:rsidRPr="00D27522" w:rsidRDefault="00C21E01" w:rsidP="001C1BB0">
      <w:pPr>
        <w:spacing w:line="360" w:lineRule="auto"/>
        <w:jc w:val="both"/>
        <w:rPr>
          <w:rFonts w:ascii="Book Antiqua" w:hAnsi="Book Antiqua"/>
          <w:sz w:val="22"/>
          <w:szCs w:val="22"/>
          <w:lang w:val="en-AU"/>
        </w:rPr>
      </w:pPr>
    </w:p>
    <w:p w:rsidR="00C21E01" w:rsidRPr="00D27522" w:rsidRDefault="00C21E01"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 xml:space="preserve">In discussing the nature of the test to be </w:t>
      </w:r>
      <w:r w:rsidR="00485256" w:rsidRPr="00D27522">
        <w:rPr>
          <w:rFonts w:ascii="Book Antiqua" w:hAnsi="Book Antiqua"/>
          <w:sz w:val="22"/>
          <w:szCs w:val="22"/>
          <w:lang w:val="en-AU"/>
        </w:rPr>
        <w:t>applied for the purposes of the provision</w:t>
      </w:r>
      <w:r w:rsidRPr="00D27522">
        <w:rPr>
          <w:rFonts w:ascii="Book Antiqua" w:hAnsi="Book Antiqua"/>
          <w:sz w:val="22"/>
          <w:szCs w:val="22"/>
          <w:lang w:val="en-AU"/>
        </w:rPr>
        <w:t>, the Court of Appeal said:</w:t>
      </w:r>
      <w:r w:rsidRPr="00D27522">
        <w:rPr>
          <w:rStyle w:val="FootnoteReference"/>
          <w:rFonts w:ascii="Book Antiqua" w:hAnsi="Book Antiqua"/>
          <w:sz w:val="22"/>
          <w:szCs w:val="22"/>
          <w:lang w:val="en-AU"/>
        </w:rPr>
        <w:footnoteReference w:id="58"/>
      </w:r>
    </w:p>
    <w:p w:rsidR="00C21E01" w:rsidRPr="00D27522" w:rsidRDefault="00C21E01" w:rsidP="001C1BB0">
      <w:pPr>
        <w:spacing w:line="360" w:lineRule="auto"/>
        <w:jc w:val="both"/>
        <w:rPr>
          <w:rFonts w:ascii="Book Antiqua" w:hAnsi="Book Antiqua"/>
          <w:sz w:val="22"/>
          <w:szCs w:val="22"/>
          <w:lang w:val="en-AU"/>
        </w:rPr>
      </w:pPr>
    </w:p>
    <w:p w:rsidR="00121B53" w:rsidRPr="00D27522" w:rsidRDefault="00C21E01" w:rsidP="00E511AF">
      <w:pPr>
        <w:ind w:left="1440" w:right="720"/>
        <w:jc w:val="both"/>
        <w:rPr>
          <w:rFonts w:ascii="Book Antiqua" w:hAnsi="Book Antiqua"/>
          <w:sz w:val="20"/>
          <w:szCs w:val="20"/>
          <w:lang w:val="en-AU"/>
        </w:rPr>
      </w:pPr>
      <w:r w:rsidRPr="00D27522">
        <w:rPr>
          <w:rFonts w:ascii="Book Antiqua" w:hAnsi="Book Antiqua"/>
          <w:sz w:val="20"/>
          <w:szCs w:val="20"/>
          <w:lang w:val="en-AU"/>
        </w:rPr>
        <w:t xml:space="preserve">“13 Section </w:t>
      </w:r>
      <w:r w:rsidR="00121B53" w:rsidRPr="00D27522">
        <w:rPr>
          <w:rFonts w:ascii="Book Antiqua" w:hAnsi="Book Antiqua"/>
          <w:sz w:val="20"/>
          <w:szCs w:val="20"/>
          <w:lang w:val="en-AU"/>
        </w:rPr>
        <w:t>24 adopts a flexible test.</w:t>
      </w:r>
      <w:r w:rsidRPr="00D27522">
        <w:rPr>
          <w:rFonts w:ascii="Book Antiqua" w:hAnsi="Book Antiqua"/>
          <w:sz w:val="20"/>
          <w:szCs w:val="20"/>
          <w:lang w:val="en-AU"/>
        </w:rPr>
        <w:t xml:space="preserve"> There is plainly no costs matrix or formula that can be applied in determi</w:t>
      </w:r>
      <w:r w:rsidR="000415B4">
        <w:rPr>
          <w:rFonts w:ascii="Book Antiqua" w:hAnsi="Book Antiqua"/>
          <w:sz w:val="20"/>
          <w:szCs w:val="20"/>
          <w:lang w:val="en-AU"/>
        </w:rPr>
        <w:t>ni</w:t>
      </w:r>
      <w:r w:rsidRPr="00D27522">
        <w:rPr>
          <w:rFonts w:ascii="Book Antiqua" w:hAnsi="Book Antiqua"/>
          <w:sz w:val="20"/>
          <w:szCs w:val="20"/>
          <w:lang w:val="en-AU"/>
        </w:rPr>
        <w:t>ng whether the parties have met their obligations. Rather, the court must weigh the legal costs expended against the complexity and importance of the issues and the amount in dispute, in order to determine whether the parties used reasonable endeavours to ensure those costs were proportionate.</w:t>
      </w:r>
    </w:p>
    <w:p w:rsidR="00C21E01" w:rsidRPr="00D27522" w:rsidRDefault="00C21E01" w:rsidP="00E511AF">
      <w:pPr>
        <w:ind w:left="1440" w:right="720" w:firstLine="720"/>
        <w:jc w:val="both"/>
        <w:rPr>
          <w:rFonts w:ascii="Book Antiqua" w:hAnsi="Book Antiqua"/>
          <w:sz w:val="20"/>
          <w:szCs w:val="20"/>
          <w:lang w:val="en-AU"/>
        </w:rPr>
      </w:pPr>
    </w:p>
    <w:p w:rsidR="00C21E01" w:rsidRPr="00D27522" w:rsidRDefault="0077085D" w:rsidP="00E511AF">
      <w:pPr>
        <w:ind w:left="1440" w:right="720"/>
        <w:jc w:val="both"/>
        <w:rPr>
          <w:rFonts w:ascii="Book Antiqua" w:hAnsi="Book Antiqua"/>
          <w:sz w:val="20"/>
          <w:szCs w:val="20"/>
          <w:lang w:val="en-AU"/>
        </w:rPr>
      </w:pPr>
      <w:r w:rsidRPr="00D27522">
        <w:rPr>
          <w:rFonts w:ascii="Book Antiqua" w:hAnsi="Book Antiqua"/>
          <w:sz w:val="20"/>
          <w:szCs w:val="20"/>
          <w:lang w:val="en-AU"/>
        </w:rPr>
        <w:t xml:space="preserve">14 </w:t>
      </w:r>
      <w:r w:rsidR="00C21E01" w:rsidRPr="00D27522">
        <w:rPr>
          <w:rFonts w:ascii="Book Antiqua" w:hAnsi="Book Antiqua"/>
          <w:sz w:val="20"/>
          <w:szCs w:val="20"/>
          <w:lang w:val="en-AU"/>
        </w:rPr>
        <w:t>Each party and their solicitor and counsel have an obligation to comply with the overarching obligation. Whether any of them have breached that overarching obligation is to be determined by an objective evaluation of their conduct having regard to the issues and the amount in dispute in the proceeding. The legal practitioners’ duty is non-delegable. The obligation will override their duty to their client where the discharge of that duty would be inconsistent with the overarching obligation. The legal practitioner will not be relieved of this overarching responsibility because of the instructions of their client.</w:t>
      </w:r>
    </w:p>
    <w:p w:rsidR="0077085D" w:rsidRPr="00D27522" w:rsidRDefault="0077085D" w:rsidP="00E511AF">
      <w:pPr>
        <w:ind w:left="1440" w:right="720"/>
        <w:jc w:val="both"/>
        <w:rPr>
          <w:rFonts w:ascii="Book Antiqua" w:hAnsi="Book Antiqua"/>
          <w:sz w:val="20"/>
          <w:szCs w:val="20"/>
          <w:lang w:val="en-AU"/>
        </w:rPr>
      </w:pPr>
    </w:p>
    <w:p w:rsidR="0077085D" w:rsidRPr="00D27522" w:rsidRDefault="0077085D" w:rsidP="00E511AF">
      <w:pPr>
        <w:ind w:left="1440" w:right="720"/>
        <w:jc w:val="both"/>
        <w:rPr>
          <w:rFonts w:ascii="Book Antiqua" w:hAnsi="Book Antiqua"/>
          <w:sz w:val="20"/>
          <w:szCs w:val="20"/>
          <w:lang w:val="en-AU"/>
        </w:rPr>
      </w:pPr>
      <w:r w:rsidRPr="00D27522">
        <w:rPr>
          <w:rFonts w:ascii="Book Antiqua" w:hAnsi="Book Antiqua"/>
          <w:sz w:val="20"/>
          <w:szCs w:val="20"/>
          <w:lang w:val="en-AU"/>
        </w:rPr>
        <w:t>15 Legal practitioners, whether solicitor or counsel, involved in the preparation of pleadings, affidavits or other materials that are to be used in the proceeding or who provide advice as to such matt</w:t>
      </w:r>
      <w:r w:rsidR="00485256" w:rsidRPr="00D27522">
        <w:rPr>
          <w:rFonts w:ascii="Book Antiqua" w:hAnsi="Book Antiqua"/>
          <w:sz w:val="20"/>
          <w:szCs w:val="20"/>
          <w:lang w:val="en-AU"/>
        </w:rPr>
        <w:t>e</w:t>
      </w:r>
      <w:r w:rsidRPr="00D27522">
        <w:rPr>
          <w:rFonts w:ascii="Book Antiqua" w:hAnsi="Book Antiqua"/>
          <w:sz w:val="20"/>
          <w:szCs w:val="20"/>
          <w:lang w:val="en-AU"/>
        </w:rPr>
        <w:t>rs, have individual responsibilities to comply with the overarching obligations. Both solicitor and counsel also have an overarching responsibility with respect to the extent and level of their client’s representation. Each must ensure that, having regard to the issues, the extent and level proposed is reasonable and proportionate. Advice or instructions given or received by legal practitioners, and instructions given by the client may inform but will not be determinative of the question whether, viewed objectively, there has been a breach of the obligation.”</w:t>
      </w:r>
    </w:p>
    <w:p w:rsidR="006632FE" w:rsidRPr="00D27522" w:rsidRDefault="006632FE" w:rsidP="001C1BB0">
      <w:pPr>
        <w:spacing w:line="360" w:lineRule="auto"/>
        <w:jc w:val="both"/>
        <w:rPr>
          <w:rFonts w:ascii="Book Antiqua" w:hAnsi="Book Antiqua"/>
          <w:sz w:val="22"/>
          <w:szCs w:val="22"/>
          <w:lang w:val="en-AU"/>
        </w:rPr>
      </w:pPr>
    </w:p>
    <w:p w:rsidR="0077085D" w:rsidRPr="00D11DBD" w:rsidRDefault="0077085D" w:rsidP="001C1BB0">
      <w:pPr>
        <w:spacing w:line="360" w:lineRule="auto"/>
        <w:jc w:val="both"/>
        <w:rPr>
          <w:rFonts w:ascii="Book Antiqua" w:hAnsi="Book Antiqua"/>
          <w:b/>
          <w:i/>
          <w:lang w:val="en-AU"/>
        </w:rPr>
      </w:pPr>
      <w:r w:rsidRPr="00D11DBD">
        <w:rPr>
          <w:rFonts w:ascii="Book Antiqua" w:hAnsi="Book Antiqua"/>
          <w:b/>
          <w:i/>
          <w:lang w:val="en-AU"/>
        </w:rPr>
        <w:t>The test of proportionality</w:t>
      </w:r>
    </w:p>
    <w:p w:rsidR="009019E9" w:rsidRPr="00D27522" w:rsidRDefault="009019E9" w:rsidP="001C1BB0">
      <w:pPr>
        <w:spacing w:line="360" w:lineRule="auto"/>
        <w:jc w:val="both"/>
        <w:rPr>
          <w:rFonts w:ascii="Book Antiqua" w:hAnsi="Book Antiqua"/>
          <w:sz w:val="22"/>
          <w:szCs w:val="22"/>
          <w:lang w:val="en-AU"/>
        </w:rPr>
      </w:pPr>
    </w:p>
    <w:p w:rsidR="0077085D" w:rsidRPr="00D27522" w:rsidRDefault="0077085D"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 xml:space="preserve">In discussing whether there was in fact any unnecessary representation of the parties in the </w:t>
      </w:r>
      <w:r w:rsidRPr="00D27522">
        <w:rPr>
          <w:rFonts w:ascii="Book Antiqua" w:hAnsi="Book Antiqua"/>
          <w:i/>
          <w:sz w:val="22"/>
          <w:szCs w:val="22"/>
          <w:lang w:val="en-AU"/>
        </w:rPr>
        <w:t xml:space="preserve">Oswal </w:t>
      </w:r>
      <w:r w:rsidR="002431D4">
        <w:rPr>
          <w:rFonts w:ascii="Book Antiqua" w:hAnsi="Book Antiqua"/>
          <w:i/>
          <w:sz w:val="22"/>
          <w:szCs w:val="22"/>
          <w:lang w:val="en-AU"/>
        </w:rPr>
        <w:t>P</w:t>
      </w:r>
      <w:r w:rsidRPr="00D27522">
        <w:rPr>
          <w:rFonts w:ascii="Book Antiqua" w:hAnsi="Book Antiqua"/>
          <w:i/>
          <w:sz w:val="22"/>
          <w:szCs w:val="22"/>
          <w:lang w:val="en-AU"/>
        </w:rPr>
        <w:t>roceedings</w:t>
      </w:r>
      <w:r w:rsidRPr="00D27522">
        <w:rPr>
          <w:rFonts w:ascii="Book Antiqua" w:hAnsi="Book Antiqua"/>
          <w:sz w:val="22"/>
          <w:szCs w:val="22"/>
          <w:lang w:val="en-AU"/>
        </w:rPr>
        <w:t xml:space="preserve">, the Court of Appeal said that while the scope of s 24 is not rigidly defined, there is plainly an obligation within the meaning of that section to ensure that the parties are not over-represented. In </w:t>
      </w:r>
      <w:r w:rsidR="002072FF">
        <w:rPr>
          <w:rFonts w:ascii="Book Antiqua" w:hAnsi="Book Antiqua"/>
          <w:sz w:val="22"/>
          <w:szCs w:val="22"/>
          <w:lang w:val="en-AU"/>
        </w:rPr>
        <w:t xml:space="preserve">this respect </w:t>
      </w:r>
      <w:r w:rsidRPr="00D27522">
        <w:rPr>
          <w:rFonts w:ascii="Book Antiqua" w:hAnsi="Book Antiqua"/>
          <w:sz w:val="22"/>
          <w:szCs w:val="22"/>
          <w:lang w:val="en-AU"/>
        </w:rPr>
        <w:t>the Court</w:t>
      </w:r>
      <w:r w:rsidR="0049445E" w:rsidRPr="00D27522">
        <w:rPr>
          <w:rFonts w:ascii="Book Antiqua" w:hAnsi="Book Antiqua"/>
          <w:sz w:val="22"/>
          <w:szCs w:val="22"/>
          <w:lang w:val="en-AU"/>
        </w:rPr>
        <w:t xml:space="preserve"> </w:t>
      </w:r>
      <w:r w:rsidR="00485256" w:rsidRPr="00D27522">
        <w:rPr>
          <w:rFonts w:ascii="Book Antiqua" w:hAnsi="Book Antiqua"/>
          <w:sz w:val="22"/>
          <w:szCs w:val="22"/>
          <w:lang w:val="en-AU"/>
        </w:rPr>
        <w:t>considered the</w:t>
      </w:r>
      <w:r w:rsidR="0049445E" w:rsidRPr="00D27522">
        <w:rPr>
          <w:rFonts w:ascii="Book Antiqua" w:hAnsi="Book Antiqua"/>
          <w:sz w:val="22"/>
          <w:szCs w:val="22"/>
          <w:lang w:val="en-AU"/>
        </w:rPr>
        <w:t xml:space="preserve"> second reading speech to the Act, which specifically refers to the practice of unnecessary representation as being a procedural issue that needs redress:</w:t>
      </w:r>
      <w:r w:rsidR="00485256" w:rsidRPr="00D27522">
        <w:rPr>
          <w:rStyle w:val="FootnoteReference"/>
          <w:rFonts w:ascii="Book Antiqua" w:hAnsi="Book Antiqua"/>
          <w:sz w:val="22"/>
          <w:szCs w:val="22"/>
          <w:lang w:val="en-AU"/>
        </w:rPr>
        <w:footnoteReference w:id="59"/>
      </w:r>
    </w:p>
    <w:p w:rsidR="0049445E" w:rsidRPr="00D27522" w:rsidRDefault="0049445E" w:rsidP="001C1BB0">
      <w:pPr>
        <w:spacing w:line="360" w:lineRule="auto"/>
        <w:jc w:val="both"/>
        <w:rPr>
          <w:rFonts w:ascii="Book Antiqua" w:hAnsi="Book Antiqua"/>
          <w:sz w:val="22"/>
          <w:szCs w:val="22"/>
          <w:lang w:val="en-AU"/>
        </w:rPr>
      </w:pPr>
    </w:p>
    <w:p w:rsidR="0049445E" w:rsidRPr="00D27522" w:rsidRDefault="0049445E" w:rsidP="00E511AF">
      <w:pPr>
        <w:ind w:left="1418"/>
        <w:jc w:val="both"/>
        <w:rPr>
          <w:rFonts w:ascii="Book Antiqua" w:hAnsi="Book Antiqua"/>
          <w:sz w:val="20"/>
          <w:szCs w:val="20"/>
          <w:lang w:val="en-AU"/>
        </w:rPr>
      </w:pPr>
      <w:r w:rsidRPr="00D27522">
        <w:rPr>
          <w:rFonts w:ascii="Book Antiqua" w:hAnsi="Book Antiqua"/>
          <w:sz w:val="22"/>
          <w:szCs w:val="22"/>
          <w:lang w:val="en-AU"/>
        </w:rPr>
        <w:tab/>
        <w:t>“</w:t>
      </w:r>
      <w:r w:rsidRPr="00D27522">
        <w:rPr>
          <w:rFonts w:ascii="Book Antiqua" w:hAnsi="Book Antiqua"/>
          <w:sz w:val="20"/>
          <w:szCs w:val="20"/>
          <w:lang w:val="en-AU"/>
        </w:rPr>
        <w:t>The Attorney-General, in discussing s 24 said:</w:t>
      </w:r>
    </w:p>
    <w:p w:rsidR="0049445E" w:rsidRPr="00D27522" w:rsidRDefault="0049445E" w:rsidP="0049445E">
      <w:pPr>
        <w:jc w:val="both"/>
        <w:rPr>
          <w:rFonts w:ascii="Book Antiqua" w:hAnsi="Book Antiqua"/>
          <w:sz w:val="20"/>
          <w:szCs w:val="20"/>
          <w:lang w:val="en-AU"/>
        </w:rPr>
      </w:pPr>
      <w:r w:rsidRPr="00D27522">
        <w:rPr>
          <w:rFonts w:ascii="Book Antiqua" w:hAnsi="Book Antiqua"/>
          <w:sz w:val="20"/>
          <w:szCs w:val="20"/>
          <w:lang w:val="en-AU"/>
        </w:rPr>
        <w:tab/>
      </w:r>
      <w:r w:rsidRPr="00D27522">
        <w:rPr>
          <w:rFonts w:ascii="Book Antiqua" w:hAnsi="Book Antiqua"/>
          <w:sz w:val="20"/>
          <w:szCs w:val="20"/>
          <w:lang w:val="en-AU"/>
        </w:rPr>
        <w:tab/>
      </w:r>
    </w:p>
    <w:p w:rsidR="0049445E" w:rsidRPr="00D27522" w:rsidRDefault="00262C86" w:rsidP="00E511AF">
      <w:pPr>
        <w:ind w:left="1985" w:right="1223"/>
        <w:jc w:val="both"/>
        <w:rPr>
          <w:rFonts w:ascii="Book Antiqua" w:hAnsi="Book Antiqua"/>
          <w:sz w:val="20"/>
          <w:szCs w:val="20"/>
          <w:lang w:val="en-AU"/>
        </w:rPr>
      </w:pPr>
      <w:r w:rsidRPr="00D27522">
        <w:rPr>
          <w:rFonts w:ascii="Book Antiqua" w:hAnsi="Book Antiqua"/>
          <w:sz w:val="20"/>
          <w:szCs w:val="20"/>
          <w:lang w:val="en-AU"/>
        </w:rPr>
        <w:t>“</w:t>
      </w:r>
      <w:r w:rsidR="0049445E" w:rsidRPr="00D27522">
        <w:rPr>
          <w:rFonts w:ascii="Book Antiqua" w:hAnsi="Book Antiqua"/>
          <w:sz w:val="20"/>
          <w:szCs w:val="20"/>
          <w:lang w:val="en-AU"/>
        </w:rPr>
        <w:t>In relation to the duty to ensure costs are reasonable and proportionate, an example of a possible breach may be the practice of briefing two barristers (senior counsel and junior counsel) where the complexity of the case does not warrant it. I note that the obligation is worded so that resources are not unreasonably constrained for cases that might in themselves be for a small amount, but that have significant precedent or public interest value.”</w:t>
      </w:r>
      <w:r w:rsidR="002072FF">
        <w:rPr>
          <w:rStyle w:val="FootnoteReference"/>
          <w:rFonts w:ascii="Book Antiqua" w:hAnsi="Book Antiqua"/>
          <w:sz w:val="20"/>
          <w:szCs w:val="20"/>
          <w:lang w:val="en-AU"/>
        </w:rPr>
        <w:footnoteReference w:id="60"/>
      </w:r>
    </w:p>
    <w:p w:rsidR="0077085D" w:rsidRPr="00D27522" w:rsidRDefault="0077085D" w:rsidP="001C1BB0">
      <w:pPr>
        <w:spacing w:line="360" w:lineRule="auto"/>
        <w:jc w:val="both"/>
        <w:rPr>
          <w:rFonts w:ascii="Book Antiqua" w:hAnsi="Book Antiqua"/>
          <w:sz w:val="22"/>
          <w:szCs w:val="22"/>
          <w:lang w:val="en-AU"/>
        </w:rPr>
      </w:pPr>
    </w:p>
    <w:p w:rsidR="006F3F97" w:rsidRPr="00D27522" w:rsidRDefault="00300C98"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The Court of Appeal emphasised that the decision as to the level and extent of representation that is necessary for a party in a proceeding is not one that can be left</w:t>
      </w:r>
      <w:r w:rsidR="002431D4">
        <w:rPr>
          <w:rFonts w:ascii="Book Antiqua" w:hAnsi="Book Antiqua"/>
          <w:sz w:val="22"/>
          <w:szCs w:val="22"/>
          <w:lang w:val="en-AU"/>
        </w:rPr>
        <w:t xml:space="preserve"> solely</w:t>
      </w:r>
      <w:r w:rsidRPr="00D27522">
        <w:rPr>
          <w:rFonts w:ascii="Book Antiqua" w:hAnsi="Book Antiqua"/>
          <w:sz w:val="22"/>
          <w:szCs w:val="22"/>
          <w:lang w:val="en-AU"/>
        </w:rPr>
        <w:t xml:space="preserve"> in the hands of the parties. Even where it may be the case that the party has provided informed instructions to their legal practitioners that they wish for a particular counsel to be briefed, it is incumbent upon those legal practitioners to consider whether, having regard to the overarching obligations contained in s 24 of the Act, the </w:t>
      </w:r>
      <w:r w:rsidR="002431D4">
        <w:rPr>
          <w:rFonts w:ascii="Book Antiqua" w:hAnsi="Book Antiqua"/>
          <w:sz w:val="22"/>
          <w:szCs w:val="22"/>
          <w:lang w:val="en-AU"/>
        </w:rPr>
        <w:t>level of representation</w:t>
      </w:r>
      <w:r w:rsidRPr="00D27522">
        <w:rPr>
          <w:rFonts w:ascii="Book Antiqua" w:hAnsi="Book Antiqua"/>
          <w:sz w:val="22"/>
          <w:szCs w:val="22"/>
          <w:lang w:val="en-AU"/>
        </w:rPr>
        <w:t xml:space="preserve"> would contravene the Act. The Court of Appeal recognised that “there will be proceedings in which the complexity or importance of the issues and the amount in dispute will not justify the engagement of counsel of particular seniority or will not justify the engagement of more than one counsel.”</w:t>
      </w:r>
      <w:r w:rsidR="00D27522" w:rsidRPr="00D27522">
        <w:rPr>
          <w:rStyle w:val="FootnoteReference"/>
          <w:rFonts w:ascii="Book Antiqua" w:hAnsi="Book Antiqua"/>
          <w:sz w:val="22"/>
          <w:szCs w:val="22"/>
          <w:lang w:val="en-AU"/>
        </w:rPr>
        <w:footnoteReference w:id="61"/>
      </w:r>
    </w:p>
    <w:p w:rsidR="006F3F97" w:rsidRPr="00D27522" w:rsidRDefault="006F3F97" w:rsidP="001C1BB0">
      <w:pPr>
        <w:spacing w:line="360" w:lineRule="auto"/>
        <w:jc w:val="both"/>
        <w:rPr>
          <w:rFonts w:ascii="Book Antiqua" w:hAnsi="Book Antiqua"/>
          <w:sz w:val="22"/>
          <w:szCs w:val="22"/>
          <w:lang w:val="en-AU"/>
        </w:rPr>
      </w:pPr>
    </w:p>
    <w:p w:rsidR="0049445E" w:rsidRPr="00D27522" w:rsidRDefault="006F3F97"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In this instance, the Court did say that there was in fact an “unusual degree of legal representation.”</w:t>
      </w:r>
      <w:r w:rsidRPr="00D27522">
        <w:rPr>
          <w:rStyle w:val="FootnoteReference"/>
          <w:rFonts w:ascii="Book Antiqua" w:hAnsi="Book Antiqua"/>
          <w:sz w:val="22"/>
          <w:szCs w:val="22"/>
          <w:lang w:val="en-AU"/>
        </w:rPr>
        <w:footnoteReference w:id="62"/>
      </w:r>
      <w:r w:rsidRPr="00D27522">
        <w:rPr>
          <w:rFonts w:ascii="Book Antiqua" w:hAnsi="Book Antiqua"/>
          <w:sz w:val="22"/>
          <w:szCs w:val="22"/>
          <w:lang w:val="en-AU"/>
        </w:rPr>
        <w:t xml:space="preserve"> Despite this, it was not held that the level of representation was such as to constitute </w:t>
      </w:r>
      <w:r w:rsidR="0070157A" w:rsidRPr="00D27522">
        <w:rPr>
          <w:rFonts w:ascii="Book Antiqua" w:hAnsi="Book Antiqua"/>
          <w:sz w:val="22"/>
          <w:szCs w:val="22"/>
          <w:lang w:val="en-AU"/>
        </w:rPr>
        <w:t xml:space="preserve">a </w:t>
      </w:r>
      <w:r w:rsidRPr="00D27522">
        <w:rPr>
          <w:rFonts w:ascii="Book Antiqua" w:hAnsi="Book Antiqua"/>
          <w:sz w:val="22"/>
          <w:szCs w:val="22"/>
          <w:lang w:val="en-AU"/>
        </w:rPr>
        <w:t xml:space="preserve">breach of the obligations </w:t>
      </w:r>
      <w:r w:rsidR="0070157A" w:rsidRPr="00D27522">
        <w:rPr>
          <w:rFonts w:ascii="Book Antiqua" w:hAnsi="Book Antiqua"/>
          <w:sz w:val="22"/>
          <w:szCs w:val="22"/>
          <w:lang w:val="en-AU"/>
        </w:rPr>
        <w:t>under</w:t>
      </w:r>
      <w:r w:rsidRPr="00D27522">
        <w:rPr>
          <w:rFonts w:ascii="Book Antiqua" w:hAnsi="Book Antiqua"/>
          <w:sz w:val="22"/>
          <w:szCs w:val="22"/>
          <w:lang w:val="en-AU"/>
        </w:rPr>
        <w:t xml:space="preserve"> s 24 of the Act. Having regard to the </w:t>
      </w:r>
      <w:r w:rsidR="009019E9" w:rsidRPr="00D27522">
        <w:rPr>
          <w:rFonts w:ascii="Book Antiqua" w:hAnsi="Book Antiqua"/>
          <w:sz w:val="22"/>
          <w:szCs w:val="22"/>
          <w:lang w:val="en-AU"/>
        </w:rPr>
        <w:t xml:space="preserve">explanations proffered by the parties as to this unusual level of representation, as well as the importance and complexity of the issues, the likely costs of the proceedings, the manner in which the hearing </w:t>
      </w:r>
      <w:r w:rsidR="0070157A" w:rsidRPr="00D27522">
        <w:rPr>
          <w:rFonts w:ascii="Book Antiqua" w:hAnsi="Book Antiqua"/>
          <w:sz w:val="22"/>
          <w:szCs w:val="22"/>
          <w:lang w:val="en-AU"/>
        </w:rPr>
        <w:t>was</w:t>
      </w:r>
      <w:r w:rsidR="009019E9" w:rsidRPr="00D27522">
        <w:rPr>
          <w:rFonts w:ascii="Book Antiqua" w:hAnsi="Book Antiqua"/>
          <w:sz w:val="22"/>
          <w:szCs w:val="22"/>
          <w:lang w:val="en-AU"/>
        </w:rPr>
        <w:t xml:space="preserve"> conducted and the fact that the oral submissions of lead senior counsel succinctly narrowed the focus of the application, the Court was satisfied that there was no breach of the overarching obligation in regard to the level of representation</w:t>
      </w:r>
    </w:p>
    <w:p w:rsidR="00300C98" w:rsidRPr="00D27522" w:rsidRDefault="00300C98" w:rsidP="001C1BB0">
      <w:pPr>
        <w:spacing w:line="360" w:lineRule="auto"/>
        <w:jc w:val="both"/>
        <w:rPr>
          <w:rFonts w:ascii="Book Antiqua" w:hAnsi="Book Antiqua"/>
          <w:sz w:val="22"/>
          <w:szCs w:val="22"/>
          <w:lang w:val="en-AU"/>
        </w:rPr>
      </w:pPr>
    </w:p>
    <w:p w:rsidR="009019E9" w:rsidRPr="00D27522" w:rsidRDefault="009019E9"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 xml:space="preserve">It was, however, a different story </w:t>
      </w:r>
      <w:r w:rsidR="004842F5" w:rsidRPr="00D27522">
        <w:rPr>
          <w:rFonts w:ascii="Book Antiqua" w:hAnsi="Book Antiqua"/>
          <w:sz w:val="22"/>
          <w:szCs w:val="22"/>
          <w:lang w:val="en-AU"/>
        </w:rPr>
        <w:t>in relation to</w:t>
      </w:r>
      <w:r w:rsidRPr="00D27522">
        <w:rPr>
          <w:rFonts w:ascii="Book Antiqua" w:hAnsi="Book Antiqua"/>
          <w:sz w:val="22"/>
          <w:szCs w:val="22"/>
          <w:lang w:val="en-AU"/>
        </w:rPr>
        <w:t xml:space="preserve"> the large volume of material that was provided to the Court. In the six lever arch folders </w:t>
      </w:r>
      <w:r w:rsidR="004842F5" w:rsidRPr="00D27522">
        <w:rPr>
          <w:rFonts w:ascii="Book Antiqua" w:hAnsi="Book Antiqua"/>
          <w:sz w:val="22"/>
          <w:szCs w:val="22"/>
          <w:lang w:val="en-AU"/>
        </w:rPr>
        <w:t>produced for the hearing,</w:t>
      </w:r>
      <w:r w:rsidRPr="00D27522">
        <w:rPr>
          <w:rFonts w:ascii="Book Antiqua" w:hAnsi="Book Antiqua"/>
          <w:sz w:val="22"/>
          <w:szCs w:val="22"/>
          <w:lang w:val="en-AU"/>
        </w:rPr>
        <w:t xml:space="preserve"> there was over 2700 pages of material</w:t>
      </w:r>
      <w:r w:rsidR="004842F5" w:rsidRPr="00D27522">
        <w:rPr>
          <w:rFonts w:ascii="Book Antiqua" w:hAnsi="Book Antiqua"/>
          <w:sz w:val="22"/>
          <w:szCs w:val="22"/>
          <w:lang w:val="en-AU"/>
        </w:rPr>
        <w:t>,</w:t>
      </w:r>
      <w:r w:rsidRPr="00D27522">
        <w:rPr>
          <w:rFonts w:ascii="Book Antiqua" w:hAnsi="Book Antiqua"/>
          <w:sz w:val="22"/>
          <w:szCs w:val="22"/>
          <w:lang w:val="en-AU"/>
        </w:rPr>
        <w:t xml:space="preserve"> </w:t>
      </w:r>
      <w:r w:rsidR="004842F5" w:rsidRPr="00D27522">
        <w:rPr>
          <w:rFonts w:ascii="Book Antiqua" w:hAnsi="Book Antiqua"/>
          <w:sz w:val="22"/>
          <w:szCs w:val="22"/>
          <w:lang w:val="en-AU"/>
        </w:rPr>
        <w:t>including</w:t>
      </w:r>
      <w:r w:rsidRPr="00D27522">
        <w:rPr>
          <w:rFonts w:ascii="Book Antiqua" w:hAnsi="Book Antiqua"/>
          <w:sz w:val="22"/>
          <w:szCs w:val="22"/>
          <w:lang w:val="en-AU"/>
        </w:rPr>
        <w:t xml:space="preserve"> “affidavit material from the parties’ solicitors [that] con</w:t>
      </w:r>
      <w:r w:rsidR="004842F5" w:rsidRPr="00D27522">
        <w:rPr>
          <w:rFonts w:ascii="Book Antiqua" w:hAnsi="Book Antiqua"/>
          <w:sz w:val="22"/>
          <w:szCs w:val="22"/>
          <w:lang w:val="en-AU"/>
        </w:rPr>
        <w:t>tained a variety of largely extraneous materials, included old statements of claim, swathes of email correspondence, materials from related proceedings in Western Australia, and transcripts from related hearings in the Supreme Court of Victoria. Much of this material was either peripheral to the application or entirely unnecessary.”</w:t>
      </w:r>
      <w:r w:rsidR="004842F5" w:rsidRPr="00D27522">
        <w:rPr>
          <w:rStyle w:val="FootnoteReference"/>
          <w:rFonts w:ascii="Book Antiqua" w:hAnsi="Book Antiqua"/>
          <w:sz w:val="22"/>
          <w:szCs w:val="22"/>
          <w:lang w:val="en-AU"/>
        </w:rPr>
        <w:footnoteReference w:id="63"/>
      </w:r>
      <w:r w:rsidR="004842F5" w:rsidRPr="00D27522">
        <w:rPr>
          <w:rFonts w:ascii="Book Antiqua" w:hAnsi="Book Antiqua"/>
          <w:sz w:val="22"/>
          <w:szCs w:val="22"/>
          <w:lang w:val="en-AU"/>
        </w:rPr>
        <w:t xml:space="preserve"> The Court noted that, while the Act is designed to protect litigants from incurring excessive costs, the provisions were also int</w:t>
      </w:r>
      <w:r w:rsidR="009F7C35" w:rsidRPr="00D27522">
        <w:rPr>
          <w:rFonts w:ascii="Book Antiqua" w:hAnsi="Book Antiqua"/>
          <w:sz w:val="22"/>
          <w:szCs w:val="22"/>
          <w:lang w:val="en-AU"/>
        </w:rPr>
        <w:t>ended to protect against the inappropriate use of the courts as a public resource. The Court said:</w:t>
      </w:r>
      <w:r w:rsidR="009F7C35" w:rsidRPr="00D27522">
        <w:rPr>
          <w:rStyle w:val="FootnoteReference"/>
          <w:rFonts w:ascii="Book Antiqua" w:hAnsi="Book Antiqua"/>
          <w:sz w:val="22"/>
          <w:szCs w:val="22"/>
          <w:lang w:val="en-AU"/>
        </w:rPr>
        <w:footnoteReference w:id="64"/>
      </w:r>
    </w:p>
    <w:p w:rsidR="009F7C35" w:rsidRPr="00D27522" w:rsidRDefault="009F7C35" w:rsidP="001C1BB0">
      <w:pPr>
        <w:spacing w:line="360" w:lineRule="auto"/>
        <w:jc w:val="both"/>
        <w:rPr>
          <w:rFonts w:ascii="Book Antiqua" w:hAnsi="Book Antiqua"/>
          <w:sz w:val="22"/>
          <w:szCs w:val="22"/>
          <w:lang w:val="en-AU"/>
        </w:rPr>
      </w:pPr>
    </w:p>
    <w:p w:rsidR="009F7C35" w:rsidRPr="00D27522" w:rsidRDefault="009F7C35" w:rsidP="00E511AF">
      <w:pPr>
        <w:ind w:left="1418" w:right="656"/>
        <w:jc w:val="both"/>
        <w:rPr>
          <w:rFonts w:ascii="Book Antiqua" w:hAnsi="Book Antiqua"/>
          <w:sz w:val="20"/>
          <w:szCs w:val="20"/>
          <w:lang w:val="en-AU"/>
        </w:rPr>
      </w:pPr>
      <w:r w:rsidRPr="00D27522">
        <w:rPr>
          <w:rFonts w:ascii="Book Antiqua" w:hAnsi="Book Antiqua"/>
          <w:sz w:val="20"/>
          <w:szCs w:val="20"/>
          <w:lang w:val="en-AU"/>
        </w:rPr>
        <w:tab/>
        <w:t>“overly voluminous application material strains the administrative resources of the Court and the time of judges themselves. Where a large volume of material is provided to the court that is unnecessary and excessive, there will be a prima facie case that the overriding obligation has been breached.”</w:t>
      </w:r>
    </w:p>
    <w:p w:rsidR="00300C98" w:rsidRPr="00D27522" w:rsidRDefault="00300C98" w:rsidP="001C1BB0">
      <w:pPr>
        <w:spacing w:line="360" w:lineRule="auto"/>
        <w:jc w:val="both"/>
        <w:rPr>
          <w:rFonts w:ascii="Book Antiqua" w:hAnsi="Book Antiqua"/>
          <w:sz w:val="22"/>
          <w:szCs w:val="22"/>
          <w:lang w:val="en-AU"/>
        </w:rPr>
      </w:pPr>
    </w:p>
    <w:p w:rsidR="00F564EF" w:rsidRPr="00D27522" w:rsidRDefault="009F7C35"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 xml:space="preserve">The Court </w:t>
      </w:r>
      <w:r w:rsidR="0070157A" w:rsidRPr="00D27522">
        <w:rPr>
          <w:rFonts w:ascii="Book Antiqua" w:hAnsi="Book Antiqua"/>
          <w:sz w:val="22"/>
          <w:szCs w:val="22"/>
          <w:lang w:val="en-AU"/>
        </w:rPr>
        <w:t xml:space="preserve">said </w:t>
      </w:r>
      <w:r w:rsidRPr="00D27522">
        <w:rPr>
          <w:rFonts w:ascii="Book Antiqua" w:hAnsi="Book Antiqua"/>
          <w:sz w:val="22"/>
          <w:szCs w:val="22"/>
          <w:lang w:val="en-AU"/>
        </w:rPr>
        <w:t>that the application books contained substantial amounts of duplicated materials, while the proceedings in Western Australia were not mentioned at all in the applicants’ submissions. One affidavit ran for 198 pages, while a letter containing a copy of an amended w</w:t>
      </w:r>
      <w:r w:rsidR="00311A2C" w:rsidRPr="00D27522">
        <w:rPr>
          <w:rFonts w:ascii="Book Antiqua" w:hAnsi="Book Antiqua"/>
          <w:sz w:val="22"/>
          <w:szCs w:val="22"/>
          <w:lang w:val="en-AU"/>
        </w:rPr>
        <w:t>ri</w:t>
      </w:r>
      <w:r w:rsidRPr="00D27522">
        <w:rPr>
          <w:rFonts w:ascii="Book Antiqua" w:hAnsi="Book Antiqua"/>
          <w:sz w:val="22"/>
          <w:szCs w:val="22"/>
          <w:lang w:val="en-AU"/>
        </w:rPr>
        <w:t>t and statement of claim ran for 170 pages and duplicate</w:t>
      </w:r>
      <w:r w:rsidR="0070157A" w:rsidRPr="00D27522">
        <w:rPr>
          <w:rFonts w:ascii="Book Antiqua" w:hAnsi="Book Antiqua"/>
          <w:sz w:val="22"/>
          <w:szCs w:val="22"/>
          <w:lang w:val="en-AU"/>
        </w:rPr>
        <w:t>d</w:t>
      </w:r>
      <w:r w:rsidRPr="00D27522">
        <w:rPr>
          <w:rFonts w:ascii="Book Antiqua" w:hAnsi="Book Antiqua"/>
          <w:sz w:val="22"/>
          <w:szCs w:val="22"/>
          <w:lang w:val="en-AU"/>
        </w:rPr>
        <w:t xml:space="preserve"> the copy already provided in the application book.</w:t>
      </w:r>
      <w:r w:rsidRPr="00D27522">
        <w:rPr>
          <w:rStyle w:val="FootnoteReference"/>
          <w:rFonts w:ascii="Book Antiqua" w:hAnsi="Book Antiqua"/>
          <w:sz w:val="22"/>
          <w:szCs w:val="22"/>
          <w:lang w:val="en-AU"/>
        </w:rPr>
        <w:footnoteReference w:id="65"/>
      </w:r>
      <w:r w:rsidR="00F564EF" w:rsidRPr="00D27522">
        <w:rPr>
          <w:rFonts w:ascii="Book Antiqua" w:hAnsi="Book Antiqua"/>
          <w:sz w:val="22"/>
          <w:szCs w:val="22"/>
          <w:lang w:val="en-AU"/>
        </w:rPr>
        <w:t>A further affidavit ran for 492 pages, which included superfluous material</w:t>
      </w:r>
      <w:r w:rsidR="0070157A" w:rsidRPr="00D27522">
        <w:rPr>
          <w:rFonts w:ascii="Book Antiqua" w:hAnsi="Book Antiqua"/>
          <w:sz w:val="22"/>
          <w:szCs w:val="22"/>
          <w:lang w:val="en-AU"/>
        </w:rPr>
        <w:t>,</w:t>
      </w:r>
      <w:r w:rsidR="00F564EF" w:rsidRPr="00D27522">
        <w:rPr>
          <w:rFonts w:ascii="Book Antiqua" w:hAnsi="Book Antiqua"/>
          <w:sz w:val="22"/>
          <w:szCs w:val="22"/>
          <w:lang w:val="en-AU"/>
        </w:rPr>
        <w:t xml:space="preserve"> including 20 pages of Reserve Bank data on the daily price of the $US.</w:t>
      </w:r>
    </w:p>
    <w:p w:rsidR="00F564EF" w:rsidRPr="00D27522" w:rsidRDefault="00F564EF" w:rsidP="001C1BB0">
      <w:pPr>
        <w:spacing w:line="360" w:lineRule="auto"/>
        <w:jc w:val="both"/>
        <w:rPr>
          <w:rFonts w:ascii="Book Antiqua" w:hAnsi="Book Antiqua"/>
          <w:sz w:val="22"/>
          <w:szCs w:val="22"/>
          <w:lang w:val="en-AU"/>
        </w:rPr>
      </w:pPr>
    </w:p>
    <w:p w:rsidR="006632FE" w:rsidRPr="00D27522" w:rsidRDefault="009F7C35"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Under these circumstances, the Court found that:</w:t>
      </w:r>
      <w:r w:rsidR="000415B4">
        <w:rPr>
          <w:rStyle w:val="FootnoteReference"/>
          <w:rFonts w:ascii="Book Antiqua" w:hAnsi="Book Antiqua"/>
          <w:sz w:val="22"/>
          <w:szCs w:val="22"/>
          <w:lang w:val="en-AU"/>
        </w:rPr>
        <w:footnoteReference w:id="66"/>
      </w:r>
    </w:p>
    <w:p w:rsidR="009F7C35" w:rsidRPr="00D27522" w:rsidRDefault="009F7C35" w:rsidP="001C1BB0">
      <w:pPr>
        <w:spacing w:line="360" w:lineRule="auto"/>
        <w:jc w:val="both"/>
        <w:rPr>
          <w:rFonts w:ascii="Book Antiqua" w:hAnsi="Book Antiqua"/>
          <w:sz w:val="22"/>
          <w:szCs w:val="22"/>
          <w:lang w:val="en-AU"/>
        </w:rPr>
      </w:pPr>
    </w:p>
    <w:p w:rsidR="009F7C35" w:rsidRPr="00D27522" w:rsidRDefault="009F7C35" w:rsidP="00262C86">
      <w:pPr>
        <w:ind w:left="1418" w:right="656"/>
        <w:jc w:val="both"/>
        <w:rPr>
          <w:rFonts w:ascii="Book Antiqua" w:hAnsi="Book Antiqua"/>
          <w:sz w:val="20"/>
          <w:szCs w:val="20"/>
          <w:lang w:val="en-AU"/>
        </w:rPr>
      </w:pPr>
      <w:r w:rsidRPr="00D27522">
        <w:rPr>
          <w:rFonts w:ascii="Book Antiqua" w:hAnsi="Book Antiqua"/>
          <w:sz w:val="20"/>
          <w:szCs w:val="20"/>
          <w:lang w:val="en-AU"/>
        </w:rPr>
        <w:t>“ 49 The applic</w:t>
      </w:r>
      <w:r w:rsidR="00D3593D" w:rsidRPr="00D27522">
        <w:rPr>
          <w:rFonts w:ascii="Book Antiqua" w:hAnsi="Book Antiqua"/>
          <w:sz w:val="20"/>
          <w:szCs w:val="20"/>
          <w:lang w:val="en-AU"/>
        </w:rPr>
        <w:t>ation books contained voluminous</w:t>
      </w:r>
      <w:r w:rsidRPr="00D27522">
        <w:rPr>
          <w:rFonts w:ascii="Book Antiqua" w:hAnsi="Book Antiqua"/>
          <w:sz w:val="20"/>
          <w:szCs w:val="20"/>
          <w:lang w:val="en-AU"/>
        </w:rPr>
        <w:t xml:space="preserve"> unnecessary material which increased the costs for all parties and the burden on the court. Very little of it was the subject of any reference in oral argument. In all, significantly more than half of the material in the application books was entirely unnecessary to the questions raised by the notice of appeal.</w:t>
      </w:r>
    </w:p>
    <w:p w:rsidR="009F7C35" w:rsidRPr="00D27522" w:rsidRDefault="009F7C35" w:rsidP="00262C86">
      <w:pPr>
        <w:ind w:left="1418" w:right="656"/>
        <w:jc w:val="both"/>
        <w:rPr>
          <w:rFonts w:ascii="Book Antiqua" w:hAnsi="Book Antiqua"/>
          <w:sz w:val="20"/>
          <w:szCs w:val="20"/>
          <w:lang w:val="en-AU"/>
        </w:rPr>
      </w:pPr>
    </w:p>
    <w:p w:rsidR="009F7C35" w:rsidRPr="00D27522" w:rsidRDefault="00262C86" w:rsidP="00262C86">
      <w:pPr>
        <w:tabs>
          <w:tab w:val="left" w:pos="1418"/>
        </w:tabs>
        <w:ind w:right="656"/>
        <w:jc w:val="both"/>
        <w:rPr>
          <w:rFonts w:ascii="Book Antiqua" w:hAnsi="Book Antiqua"/>
          <w:sz w:val="20"/>
          <w:szCs w:val="20"/>
          <w:lang w:val="en-AU"/>
        </w:rPr>
      </w:pPr>
      <w:r w:rsidRPr="00D27522">
        <w:rPr>
          <w:rFonts w:ascii="Book Antiqua" w:hAnsi="Book Antiqua"/>
          <w:sz w:val="20"/>
          <w:szCs w:val="20"/>
          <w:lang w:val="en-AU"/>
        </w:rPr>
        <w:tab/>
      </w:r>
      <w:r w:rsidR="009F7C35" w:rsidRPr="00D27522">
        <w:rPr>
          <w:rFonts w:ascii="Book Antiqua" w:hAnsi="Book Antiqua"/>
          <w:sz w:val="20"/>
          <w:szCs w:val="20"/>
          <w:lang w:val="en-AU"/>
        </w:rPr>
        <w:t>…</w:t>
      </w:r>
    </w:p>
    <w:p w:rsidR="009F7C35" w:rsidRPr="00D27522" w:rsidRDefault="009F7C35" w:rsidP="00262C86">
      <w:pPr>
        <w:ind w:left="1418" w:right="656"/>
        <w:jc w:val="both"/>
        <w:rPr>
          <w:rFonts w:ascii="Book Antiqua" w:hAnsi="Book Antiqua"/>
          <w:sz w:val="20"/>
          <w:szCs w:val="20"/>
          <w:lang w:val="en-AU"/>
        </w:rPr>
      </w:pPr>
    </w:p>
    <w:p w:rsidR="009F7C35" w:rsidRPr="00D27522" w:rsidRDefault="009F7C35" w:rsidP="00262C86">
      <w:pPr>
        <w:ind w:left="1418" w:right="656"/>
        <w:jc w:val="both"/>
        <w:rPr>
          <w:rFonts w:ascii="Book Antiqua" w:hAnsi="Book Antiqua"/>
          <w:sz w:val="20"/>
          <w:szCs w:val="20"/>
          <w:lang w:val="en-AU"/>
        </w:rPr>
      </w:pPr>
      <w:r w:rsidRPr="00D27522">
        <w:rPr>
          <w:rFonts w:ascii="Book Antiqua" w:hAnsi="Book Antiqua"/>
          <w:sz w:val="20"/>
          <w:szCs w:val="20"/>
          <w:lang w:val="en-AU"/>
        </w:rPr>
        <w:t>51 … Such expenditure as is incurred on an interlocutory application must be proportionate to the proceeding in question. We are satisfied on the balance of probabilities that the overarching obligation under s 24 to ensure that costs were reasonable and proportionate has been breached by the filing of excessive material.”</w:t>
      </w:r>
    </w:p>
    <w:p w:rsidR="009F7C35" w:rsidRPr="00785375" w:rsidRDefault="009F7C35" w:rsidP="009F7C35">
      <w:pPr>
        <w:ind w:left="720" w:right="515"/>
        <w:jc w:val="both"/>
        <w:rPr>
          <w:rFonts w:ascii="Book Antiqua" w:hAnsi="Book Antiqua"/>
          <w:sz w:val="22"/>
          <w:szCs w:val="22"/>
          <w:lang w:val="en-AU"/>
        </w:rPr>
      </w:pPr>
    </w:p>
    <w:p w:rsidR="009F7C35" w:rsidRPr="00785375" w:rsidRDefault="009F7C35" w:rsidP="009F7C35">
      <w:pPr>
        <w:ind w:right="515"/>
        <w:jc w:val="both"/>
        <w:rPr>
          <w:rFonts w:ascii="Book Antiqua" w:hAnsi="Book Antiqua"/>
          <w:sz w:val="22"/>
          <w:szCs w:val="22"/>
          <w:lang w:val="en-AU"/>
        </w:rPr>
      </w:pPr>
    </w:p>
    <w:p w:rsidR="00D3593D" w:rsidRPr="00D27522" w:rsidRDefault="00F564EF" w:rsidP="00F564EF">
      <w:pPr>
        <w:spacing w:line="360" w:lineRule="auto"/>
        <w:ind w:right="515"/>
        <w:jc w:val="both"/>
        <w:rPr>
          <w:rFonts w:ascii="Book Antiqua" w:hAnsi="Book Antiqua"/>
          <w:sz w:val="22"/>
          <w:szCs w:val="22"/>
          <w:lang w:val="en-AU"/>
        </w:rPr>
      </w:pPr>
      <w:r w:rsidRPr="00D27522">
        <w:rPr>
          <w:rFonts w:ascii="Book Antiqua" w:hAnsi="Book Antiqua"/>
          <w:sz w:val="22"/>
          <w:szCs w:val="22"/>
          <w:lang w:val="en-AU"/>
        </w:rPr>
        <w:t xml:space="preserve">In producing this type of material to the Court, the practitioners displayed little regard for their obligations under the Act. The fact that the material filed was in </w:t>
      </w:r>
      <w:r w:rsidR="00D3593D" w:rsidRPr="00D27522">
        <w:rPr>
          <w:rFonts w:ascii="Book Antiqua" w:hAnsi="Book Antiqua"/>
          <w:sz w:val="22"/>
          <w:szCs w:val="22"/>
          <w:lang w:val="en-AU"/>
        </w:rPr>
        <w:t>some</w:t>
      </w:r>
      <w:r w:rsidRPr="00D27522">
        <w:rPr>
          <w:rFonts w:ascii="Book Antiqua" w:hAnsi="Book Antiqua"/>
          <w:sz w:val="22"/>
          <w:szCs w:val="22"/>
          <w:lang w:val="en-AU"/>
        </w:rPr>
        <w:t xml:space="preserve"> instances duplicated would lend itself to the conclusion that the parties themselves were not even sure about the content of the material they were putting before the Court. </w:t>
      </w:r>
      <w:r w:rsidR="00D3593D" w:rsidRPr="00D27522">
        <w:rPr>
          <w:rFonts w:ascii="Book Antiqua" w:hAnsi="Book Antiqua"/>
          <w:sz w:val="22"/>
          <w:szCs w:val="22"/>
          <w:lang w:val="en-AU"/>
        </w:rPr>
        <w:t>As Redlich</w:t>
      </w:r>
      <w:r w:rsidR="0070157A" w:rsidRPr="00D27522">
        <w:rPr>
          <w:rFonts w:ascii="Book Antiqua" w:hAnsi="Book Antiqua"/>
          <w:sz w:val="22"/>
          <w:szCs w:val="22"/>
          <w:lang w:val="en-AU"/>
        </w:rPr>
        <w:t xml:space="preserve"> JA</w:t>
      </w:r>
      <w:r w:rsidR="00D3593D" w:rsidRPr="00D27522">
        <w:rPr>
          <w:rFonts w:ascii="Book Antiqua" w:hAnsi="Book Antiqua"/>
          <w:sz w:val="22"/>
          <w:szCs w:val="22"/>
          <w:lang w:val="en-AU"/>
        </w:rPr>
        <w:t xml:space="preserve"> and Beach AJA had said in </w:t>
      </w:r>
      <w:r w:rsidR="00D3593D" w:rsidRPr="00D27522">
        <w:rPr>
          <w:rFonts w:ascii="Book Antiqua" w:hAnsi="Book Antiqua"/>
          <w:i/>
          <w:sz w:val="22"/>
          <w:szCs w:val="22"/>
          <w:lang w:val="en-AU"/>
        </w:rPr>
        <w:t>A Team Diamond</w:t>
      </w:r>
      <w:r w:rsidR="00D3593D" w:rsidRPr="00D27522">
        <w:rPr>
          <w:rFonts w:ascii="Book Antiqua" w:hAnsi="Book Antiqua"/>
          <w:sz w:val="22"/>
          <w:szCs w:val="22"/>
          <w:lang w:val="en-AU"/>
        </w:rPr>
        <w:t>, the obligation which rests upon legal practitioners to give such assistance has become increasingly important. Cobbling together as much material as possible to fill up an impressive array of lever arch folders to present to the court – especially where much of this material is duplicated or irrelevant – was shown by the Court to be a clear breach of the Act.</w:t>
      </w:r>
    </w:p>
    <w:p w:rsidR="00D3593D" w:rsidRPr="00D27522" w:rsidRDefault="00D3593D" w:rsidP="00F564EF">
      <w:pPr>
        <w:spacing w:line="360" w:lineRule="auto"/>
        <w:ind w:right="515"/>
        <w:jc w:val="both"/>
        <w:rPr>
          <w:rFonts w:ascii="Book Antiqua" w:hAnsi="Book Antiqua"/>
          <w:sz w:val="22"/>
          <w:szCs w:val="22"/>
          <w:lang w:val="en-AU"/>
        </w:rPr>
      </w:pPr>
    </w:p>
    <w:p w:rsidR="00C16ADE" w:rsidRPr="00D27522" w:rsidRDefault="00C16ADE" w:rsidP="00F564EF">
      <w:pPr>
        <w:spacing w:line="360" w:lineRule="auto"/>
        <w:ind w:right="515"/>
        <w:jc w:val="both"/>
        <w:rPr>
          <w:rFonts w:ascii="Book Antiqua" w:hAnsi="Book Antiqua"/>
          <w:sz w:val="22"/>
          <w:szCs w:val="22"/>
          <w:lang w:val="en-AU"/>
        </w:rPr>
      </w:pPr>
    </w:p>
    <w:p w:rsidR="009F7C35" w:rsidRPr="00D27522" w:rsidRDefault="00C16ADE" w:rsidP="00F564EF">
      <w:pPr>
        <w:spacing w:line="360" w:lineRule="auto"/>
        <w:ind w:right="515"/>
        <w:jc w:val="both"/>
        <w:rPr>
          <w:rFonts w:ascii="Book Antiqua" w:hAnsi="Book Antiqua"/>
          <w:sz w:val="22"/>
          <w:szCs w:val="22"/>
          <w:lang w:val="en-AU"/>
        </w:rPr>
      </w:pPr>
      <w:r w:rsidRPr="00D27522">
        <w:rPr>
          <w:rFonts w:ascii="Book Antiqua" w:hAnsi="Book Antiqua"/>
          <w:sz w:val="22"/>
          <w:szCs w:val="22"/>
          <w:lang w:val="en-AU"/>
        </w:rPr>
        <w:t>The Court’s comment</w:t>
      </w:r>
      <w:r w:rsidR="009A1859">
        <w:rPr>
          <w:rFonts w:ascii="Book Antiqua" w:hAnsi="Book Antiqua"/>
          <w:sz w:val="22"/>
          <w:szCs w:val="22"/>
          <w:lang w:val="en-AU"/>
        </w:rPr>
        <w:t xml:space="preserve"> that</w:t>
      </w:r>
      <w:r w:rsidRPr="00D27522">
        <w:rPr>
          <w:rFonts w:ascii="Book Antiqua" w:hAnsi="Book Antiqua"/>
          <w:sz w:val="22"/>
          <w:szCs w:val="22"/>
          <w:lang w:val="en-AU"/>
        </w:rPr>
        <w:t xml:space="preserve"> “where a large volume of material is provided to a court that is </w:t>
      </w:r>
      <w:r w:rsidRPr="00D27522">
        <w:rPr>
          <w:rFonts w:ascii="Book Antiqua" w:hAnsi="Book Antiqua"/>
          <w:i/>
          <w:sz w:val="22"/>
          <w:szCs w:val="22"/>
          <w:lang w:val="en-AU"/>
        </w:rPr>
        <w:t>unnecessary and excessive</w:t>
      </w:r>
      <w:r w:rsidR="009A1859">
        <w:rPr>
          <w:rStyle w:val="FootnoteReference"/>
          <w:rFonts w:ascii="Book Antiqua" w:hAnsi="Book Antiqua"/>
          <w:i/>
          <w:sz w:val="22"/>
          <w:szCs w:val="22"/>
          <w:lang w:val="en-AU"/>
        </w:rPr>
        <w:footnoteReference w:id="67"/>
      </w:r>
      <w:r w:rsidRPr="00D27522">
        <w:rPr>
          <w:rFonts w:ascii="Book Antiqua" w:hAnsi="Book Antiqua"/>
          <w:i/>
          <w:sz w:val="22"/>
          <w:szCs w:val="22"/>
          <w:lang w:val="en-AU"/>
        </w:rPr>
        <w:t xml:space="preserve"> </w:t>
      </w:r>
      <w:r w:rsidRPr="00D27522">
        <w:rPr>
          <w:rFonts w:ascii="Book Antiqua" w:hAnsi="Book Antiqua"/>
          <w:sz w:val="22"/>
          <w:szCs w:val="22"/>
          <w:lang w:val="en-AU"/>
        </w:rPr>
        <w:t>there will be a prima facie case that the overriding obligation has been breached”</w:t>
      </w:r>
      <w:r w:rsidR="00591CCD" w:rsidRPr="00D27522">
        <w:rPr>
          <w:rFonts w:ascii="Book Antiqua" w:hAnsi="Book Antiqua"/>
          <w:sz w:val="22"/>
          <w:szCs w:val="22"/>
          <w:lang w:val="en-AU"/>
        </w:rPr>
        <w:t xml:space="preserve"> </w:t>
      </w:r>
      <w:r w:rsidRPr="00D27522">
        <w:rPr>
          <w:rFonts w:ascii="Book Antiqua" w:hAnsi="Book Antiqua"/>
          <w:sz w:val="22"/>
          <w:szCs w:val="22"/>
          <w:lang w:val="en-AU"/>
        </w:rPr>
        <w:t xml:space="preserve">make it clear that the volume of material – or the degree of legal representation, as the case may be –does not of itself mean that the overarching obligation in s 24 has been breached. </w:t>
      </w:r>
      <w:r w:rsidR="009A1859">
        <w:rPr>
          <w:rFonts w:ascii="Book Antiqua" w:hAnsi="Book Antiqua"/>
          <w:sz w:val="22"/>
          <w:szCs w:val="22"/>
          <w:lang w:val="en-AU"/>
        </w:rPr>
        <w:t>T</w:t>
      </w:r>
      <w:r w:rsidRPr="00D27522">
        <w:rPr>
          <w:rFonts w:ascii="Book Antiqua" w:hAnsi="Book Antiqua"/>
          <w:sz w:val="22"/>
          <w:szCs w:val="22"/>
          <w:lang w:val="en-AU"/>
        </w:rPr>
        <w:t xml:space="preserve">he decisive factor </w:t>
      </w:r>
      <w:r w:rsidR="009A1859">
        <w:rPr>
          <w:rFonts w:ascii="Book Antiqua" w:hAnsi="Book Antiqua"/>
          <w:sz w:val="22"/>
          <w:szCs w:val="22"/>
          <w:lang w:val="en-AU"/>
        </w:rPr>
        <w:t>which determines</w:t>
      </w:r>
      <w:r w:rsidRPr="00D27522">
        <w:rPr>
          <w:rFonts w:ascii="Book Antiqua" w:hAnsi="Book Antiqua"/>
          <w:sz w:val="22"/>
          <w:szCs w:val="22"/>
          <w:lang w:val="en-AU"/>
        </w:rPr>
        <w:t xml:space="preserve"> whether the obligation has been breached is found in the </w:t>
      </w:r>
      <w:r w:rsidR="00591CCD" w:rsidRPr="00D27522">
        <w:rPr>
          <w:rFonts w:ascii="Book Antiqua" w:hAnsi="Book Antiqua"/>
          <w:sz w:val="22"/>
          <w:szCs w:val="22"/>
          <w:lang w:val="en-AU"/>
        </w:rPr>
        <w:t>plain language o</w:t>
      </w:r>
      <w:r w:rsidRPr="00D27522">
        <w:rPr>
          <w:rFonts w:ascii="Book Antiqua" w:hAnsi="Book Antiqua"/>
          <w:sz w:val="22"/>
          <w:szCs w:val="22"/>
          <w:lang w:val="en-AU"/>
        </w:rPr>
        <w:t xml:space="preserve">f the section itself – what is ‘reasonable and proportionate.’ There may be instances where practitioners file a similar amount of material as that which was filed in the application hearing in the </w:t>
      </w:r>
      <w:r w:rsidRPr="00D27522">
        <w:rPr>
          <w:rFonts w:ascii="Book Antiqua" w:hAnsi="Book Antiqua"/>
          <w:i/>
          <w:sz w:val="22"/>
          <w:szCs w:val="22"/>
          <w:lang w:val="en-AU"/>
        </w:rPr>
        <w:t>Oswal Proceedings</w:t>
      </w:r>
      <w:r w:rsidR="00591CCD" w:rsidRPr="00D27522">
        <w:rPr>
          <w:rFonts w:ascii="Book Antiqua" w:hAnsi="Book Antiqua"/>
          <w:sz w:val="22"/>
          <w:szCs w:val="22"/>
          <w:lang w:val="en-AU"/>
        </w:rPr>
        <w:t>,</w:t>
      </w:r>
      <w:r w:rsidRPr="00D27522">
        <w:rPr>
          <w:rFonts w:ascii="Book Antiqua" w:hAnsi="Book Antiqua"/>
          <w:sz w:val="22"/>
          <w:szCs w:val="22"/>
          <w:lang w:val="en-AU"/>
        </w:rPr>
        <w:t xml:space="preserve"> and no breach of the overarching obligations </w:t>
      </w:r>
      <w:r w:rsidR="00591CCD" w:rsidRPr="00D27522">
        <w:rPr>
          <w:rFonts w:ascii="Book Antiqua" w:hAnsi="Book Antiqua"/>
          <w:sz w:val="22"/>
          <w:szCs w:val="22"/>
          <w:lang w:val="en-AU"/>
        </w:rPr>
        <w:t>will have</w:t>
      </w:r>
      <w:r w:rsidRPr="00D27522">
        <w:rPr>
          <w:rFonts w:ascii="Book Antiqua" w:hAnsi="Book Antiqua"/>
          <w:sz w:val="22"/>
          <w:szCs w:val="22"/>
          <w:lang w:val="en-AU"/>
        </w:rPr>
        <w:t xml:space="preserve"> occurred</w:t>
      </w:r>
      <w:r w:rsidR="009A1859">
        <w:rPr>
          <w:rFonts w:ascii="Book Antiqua" w:hAnsi="Book Antiqua"/>
          <w:sz w:val="22"/>
          <w:szCs w:val="22"/>
          <w:lang w:val="en-AU"/>
        </w:rPr>
        <w:t>, or be suggested</w:t>
      </w:r>
      <w:r w:rsidRPr="00D27522">
        <w:rPr>
          <w:rFonts w:ascii="Book Antiqua" w:hAnsi="Book Antiqua"/>
          <w:sz w:val="22"/>
          <w:szCs w:val="22"/>
          <w:lang w:val="en-AU"/>
        </w:rPr>
        <w:t xml:space="preserve">. Similarly, the courtroom may be filled with senior counsel </w:t>
      </w:r>
      <w:r w:rsidR="009A1859">
        <w:rPr>
          <w:rFonts w:ascii="Book Antiqua" w:hAnsi="Book Antiqua"/>
          <w:sz w:val="22"/>
          <w:szCs w:val="22"/>
          <w:lang w:val="en-AU"/>
        </w:rPr>
        <w:t>-</w:t>
      </w:r>
      <w:r w:rsidRPr="00D27522">
        <w:rPr>
          <w:rFonts w:ascii="Book Antiqua" w:hAnsi="Book Antiqua"/>
          <w:sz w:val="22"/>
          <w:szCs w:val="22"/>
          <w:lang w:val="en-AU"/>
        </w:rPr>
        <w:t xml:space="preserve"> </w:t>
      </w:r>
      <w:r w:rsidR="009A1859">
        <w:rPr>
          <w:rFonts w:ascii="Book Antiqua" w:hAnsi="Book Antiqua"/>
          <w:sz w:val="22"/>
          <w:szCs w:val="22"/>
          <w:lang w:val="en-AU"/>
        </w:rPr>
        <w:t>“</w:t>
      </w:r>
      <w:r w:rsidRPr="00D27522">
        <w:rPr>
          <w:rFonts w:ascii="Book Antiqua" w:hAnsi="Book Antiqua"/>
          <w:sz w:val="22"/>
          <w:szCs w:val="22"/>
          <w:lang w:val="en-AU"/>
        </w:rPr>
        <w:t>standing room only</w:t>
      </w:r>
      <w:r w:rsidR="009A1859">
        <w:rPr>
          <w:rFonts w:ascii="Book Antiqua" w:hAnsi="Book Antiqua"/>
          <w:sz w:val="22"/>
          <w:szCs w:val="22"/>
          <w:lang w:val="en-AU"/>
        </w:rPr>
        <w:t>”</w:t>
      </w:r>
      <w:r w:rsidRPr="00D27522">
        <w:rPr>
          <w:rFonts w:ascii="Book Antiqua" w:hAnsi="Book Antiqua"/>
          <w:sz w:val="22"/>
          <w:szCs w:val="22"/>
          <w:lang w:val="en-AU"/>
        </w:rPr>
        <w:t xml:space="preserve"> at the bar table</w:t>
      </w:r>
      <w:r w:rsidR="009A1859">
        <w:rPr>
          <w:rFonts w:ascii="Book Antiqua" w:hAnsi="Book Antiqua"/>
          <w:sz w:val="22"/>
          <w:szCs w:val="22"/>
          <w:lang w:val="en-AU"/>
        </w:rPr>
        <w:t xml:space="preserve"> -</w:t>
      </w:r>
      <w:r w:rsidRPr="00D27522">
        <w:rPr>
          <w:rFonts w:ascii="Book Antiqua" w:hAnsi="Book Antiqua"/>
          <w:sz w:val="22"/>
          <w:szCs w:val="22"/>
          <w:lang w:val="en-AU"/>
        </w:rPr>
        <w:t xml:space="preserve"> and yet</w:t>
      </w:r>
      <w:r w:rsidR="00591CCD" w:rsidRPr="00D27522">
        <w:rPr>
          <w:rFonts w:ascii="Book Antiqua" w:hAnsi="Book Antiqua"/>
          <w:sz w:val="22"/>
          <w:szCs w:val="22"/>
          <w:lang w:val="en-AU"/>
        </w:rPr>
        <w:t>,</w:t>
      </w:r>
      <w:r w:rsidRPr="00D27522">
        <w:rPr>
          <w:rFonts w:ascii="Book Antiqua" w:hAnsi="Book Antiqua"/>
          <w:sz w:val="22"/>
          <w:szCs w:val="22"/>
          <w:lang w:val="en-AU"/>
        </w:rPr>
        <w:t xml:space="preserve"> again</w:t>
      </w:r>
      <w:r w:rsidR="00591CCD" w:rsidRPr="00D27522">
        <w:rPr>
          <w:rFonts w:ascii="Book Antiqua" w:hAnsi="Book Antiqua"/>
          <w:sz w:val="22"/>
          <w:szCs w:val="22"/>
          <w:lang w:val="en-AU"/>
        </w:rPr>
        <w:t>,</w:t>
      </w:r>
      <w:r w:rsidRPr="00D27522">
        <w:rPr>
          <w:rFonts w:ascii="Book Antiqua" w:hAnsi="Book Antiqua"/>
          <w:sz w:val="22"/>
          <w:szCs w:val="22"/>
          <w:lang w:val="en-AU"/>
        </w:rPr>
        <w:t xml:space="preserve"> no obligation will be breached. It all depends upon whether, given the complexity or importance of the issues in dispute, as well as the amount in dispute, the costs that have been charged are</w:t>
      </w:r>
      <w:r w:rsidR="009A1859">
        <w:rPr>
          <w:rFonts w:ascii="Book Antiqua" w:hAnsi="Book Antiqua"/>
          <w:sz w:val="22"/>
          <w:szCs w:val="22"/>
          <w:lang w:val="en-AU"/>
        </w:rPr>
        <w:t>, in all the circumstances,</w:t>
      </w:r>
      <w:r w:rsidRPr="00D27522">
        <w:rPr>
          <w:rFonts w:ascii="Book Antiqua" w:hAnsi="Book Antiqua"/>
          <w:sz w:val="22"/>
          <w:szCs w:val="22"/>
          <w:lang w:val="en-AU"/>
        </w:rPr>
        <w:t xml:space="preserve"> considered reasonable and proportionate. The duty lies squarely with the prac</w:t>
      </w:r>
      <w:r w:rsidR="00A82CF9" w:rsidRPr="00D27522">
        <w:rPr>
          <w:rFonts w:ascii="Book Antiqua" w:hAnsi="Book Antiqua"/>
          <w:sz w:val="22"/>
          <w:szCs w:val="22"/>
          <w:lang w:val="en-AU"/>
        </w:rPr>
        <w:t xml:space="preserve">titioners to ensure </w:t>
      </w:r>
      <w:r w:rsidR="00591CCD" w:rsidRPr="00D27522">
        <w:rPr>
          <w:rFonts w:ascii="Book Antiqua" w:hAnsi="Book Antiqua"/>
          <w:sz w:val="22"/>
          <w:szCs w:val="22"/>
          <w:lang w:val="en-AU"/>
        </w:rPr>
        <w:t xml:space="preserve">that </w:t>
      </w:r>
      <w:r w:rsidR="00A82CF9" w:rsidRPr="00D27522">
        <w:rPr>
          <w:rFonts w:ascii="Book Antiqua" w:hAnsi="Book Antiqua"/>
          <w:sz w:val="22"/>
          <w:szCs w:val="22"/>
          <w:lang w:val="en-AU"/>
        </w:rPr>
        <w:t>wha</w:t>
      </w:r>
      <w:r w:rsidR="00591CCD" w:rsidRPr="00D27522">
        <w:rPr>
          <w:rFonts w:ascii="Book Antiqua" w:hAnsi="Book Antiqua"/>
          <w:sz w:val="22"/>
          <w:szCs w:val="22"/>
          <w:lang w:val="en-AU"/>
        </w:rPr>
        <w:t xml:space="preserve">tever action is taken, it is </w:t>
      </w:r>
      <w:r w:rsidR="00A82CF9" w:rsidRPr="00D27522">
        <w:rPr>
          <w:rFonts w:ascii="Book Antiqua" w:hAnsi="Book Antiqua"/>
          <w:sz w:val="22"/>
          <w:szCs w:val="22"/>
          <w:lang w:val="en-AU"/>
        </w:rPr>
        <w:t>reasonable and proportionate.</w:t>
      </w:r>
      <w:r w:rsidRPr="00D27522">
        <w:rPr>
          <w:rFonts w:ascii="Book Antiqua" w:hAnsi="Book Antiqua"/>
          <w:sz w:val="22"/>
          <w:szCs w:val="22"/>
          <w:lang w:val="en-AU"/>
        </w:rPr>
        <w:t xml:space="preserve"> </w:t>
      </w:r>
    </w:p>
    <w:p w:rsidR="009F7C35" w:rsidRPr="00D27522" w:rsidRDefault="009F7C35" w:rsidP="009F7C35">
      <w:pPr>
        <w:ind w:left="720" w:right="515"/>
        <w:jc w:val="both"/>
        <w:rPr>
          <w:rFonts w:ascii="Book Antiqua" w:hAnsi="Book Antiqua"/>
          <w:sz w:val="22"/>
          <w:szCs w:val="22"/>
          <w:lang w:val="en-AU"/>
        </w:rPr>
      </w:pPr>
    </w:p>
    <w:p w:rsidR="002B431C" w:rsidRPr="00D27522" w:rsidRDefault="006632FE" w:rsidP="001C1BB0">
      <w:pPr>
        <w:spacing w:line="360" w:lineRule="auto"/>
        <w:jc w:val="both"/>
        <w:rPr>
          <w:rFonts w:ascii="Book Antiqua" w:hAnsi="Book Antiqua"/>
          <w:b/>
          <w:i/>
          <w:sz w:val="22"/>
          <w:szCs w:val="22"/>
          <w:lang w:val="en-AU"/>
        </w:rPr>
      </w:pPr>
      <w:r w:rsidRPr="00D27522">
        <w:rPr>
          <w:rFonts w:ascii="Book Antiqua" w:hAnsi="Book Antiqua"/>
          <w:b/>
          <w:i/>
          <w:sz w:val="22"/>
          <w:szCs w:val="22"/>
          <w:lang w:val="en-AU"/>
        </w:rPr>
        <w:t xml:space="preserve">The power to </w:t>
      </w:r>
      <w:r w:rsidR="00A82CF9" w:rsidRPr="00D27522">
        <w:rPr>
          <w:rFonts w:ascii="Book Antiqua" w:hAnsi="Book Antiqua"/>
          <w:b/>
          <w:i/>
          <w:sz w:val="22"/>
          <w:szCs w:val="22"/>
          <w:lang w:val="en-AU"/>
        </w:rPr>
        <w:t xml:space="preserve">impose </w:t>
      </w:r>
      <w:r w:rsidRPr="00D27522">
        <w:rPr>
          <w:rFonts w:ascii="Book Antiqua" w:hAnsi="Book Antiqua"/>
          <w:b/>
          <w:i/>
          <w:sz w:val="22"/>
          <w:szCs w:val="22"/>
          <w:lang w:val="en-AU"/>
        </w:rPr>
        <w:t>sanctions under the Act</w:t>
      </w:r>
    </w:p>
    <w:p w:rsidR="003F3E52" w:rsidRPr="00D27522" w:rsidRDefault="003F3E52" w:rsidP="001C1BB0">
      <w:pPr>
        <w:spacing w:line="360" w:lineRule="auto"/>
        <w:jc w:val="both"/>
        <w:rPr>
          <w:rFonts w:ascii="Book Antiqua" w:hAnsi="Book Antiqua"/>
          <w:sz w:val="22"/>
          <w:szCs w:val="22"/>
          <w:lang w:val="en-AU"/>
        </w:rPr>
      </w:pPr>
    </w:p>
    <w:p w:rsidR="0005599B" w:rsidRPr="00D27522" w:rsidRDefault="0005599B"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 xml:space="preserve">As was </w:t>
      </w:r>
      <w:r w:rsidR="00A82CF9" w:rsidRPr="00D27522">
        <w:rPr>
          <w:rFonts w:ascii="Book Antiqua" w:hAnsi="Book Antiqua"/>
          <w:sz w:val="22"/>
          <w:szCs w:val="22"/>
          <w:lang w:val="en-AU"/>
        </w:rPr>
        <w:t xml:space="preserve">observed </w:t>
      </w:r>
      <w:r w:rsidR="002523EA" w:rsidRPr="00D27522">
        <w:rPr>
          <w:rFonts w:ascii="Book Antiqua" w:hAnsi="Book Antiqua"/>
          <w:sz w:val="22"/>
          <w:szCs w:val="22"/>
          <w:lang w:val="en-AU"/>
        </w:rPr>
        <w:t>previously</w:t>
      </w:r>
      <w:r w:rsidR="009A1859">
        <w:rPr>
          <w:rFonts w:ascii="Book Antiqua" w:hAnsi="Book Antiqua"/>
          <w:sz w:val="22"/>
          <w:szCs w:val="22"/>
          <w:lang w:val="en-AU"/>
        </w:rPr>
        <w:t>, to date</w:t>
      </w:r>
      <w:r w:rsidR="002523EA" w:rsidRPr="00D27522">
        <w:rPr>
          <w:rFonts w:ascii="Book Antiqua" w:hAnsi="Book Antiqua"/>
          <w:sz w:val="22"/>
          <w:szCs w:val="22"/>
          <w:lang w:val="en-AU"/>
        </w:rPr>
        <w:t xml:space="preserve">, sanctions imposed for a breach of any overarching obligation have been a rarity at first instance. The Court </w:t>
      </w:r>
      <w:r w:rsidR="00A82CF9" w:rsidRPr="00D27522">
        <w:rPr>
          <w:rFonts w:ascii="Book Antiqua" w:hAnsi="Book Antiqua"/>
          <w:sz w:val="22"/>
          <w:szCs w:val="22"/>
          <w:lang w:val="en-AU"/>
        </w:rPr>
        <w:t xml:space="preserve">of Appeal </w:t>
      </w:r>
      <w:r w:rsidR="002523EA" w:rsidRPr="00D27522">
        <w:rPr>
          <w:rFonts w:ascii="Book Antiqua" w:hAnsi="Book Antiqua"/>
          <w:sz w:val="22"/>
          <w:szCs w:val="22"/>
          <w:lang w:val="en-AU"/>
        </w:rPr>
        <w:t>ex</w:t>
      </w:r>
      <w:r w:rsidR="000E190B" w:rsidRPr="00D27522">
        <w:rPr>
          <w:rFonts w:ascii="Book Antiqua" w:hAnsi="Book Antiqua"/>
          <w:sz w:val="22"/>
          <w:szCs w:val="22"/>
          <w:lang w:val="en-AU"/>
        </w:rPr>
        <w:t>plained this in part as being du</w:t>
      </w:r>
      <w:r w:rsidR="002523EA" w:rsidRPr="00D27522">
        <w:rPr>
          <w:rFonts w:ascii="Book Antiqua" w:hAnsi="Book Antiqua"/>
          <w:sz w:val="22"/>
          <w:szCs w:val="22"/>
          <w:lang w:val="en-AU"/>
        </w:rPr>
        <w:t>e to “a false perception that these provisions and the overarching obligations do not affect any material change to the Rules and the inherent jurisdiction of the Court.”</w:t>
      </w:r>
      <w:r w:rsidR="002523EA" w:rsidRPr="00D27522">
        <w:rPr>
          <w:rStyle w:val="FootnoteReference"/>
          <w:rFonts w:ascii="Book Antiqua" w:hAnsi="Book Antiqua"/>
          <w:sz w:val="22"/>
          <w:szCs w:val="22"/>
          <w:lang w:val="en-AU"/>
        </w:rPr>
        <w:footnoteReference w:id="68"/>
      </w:r>
    </w:p>
    <w:p w:rsidR="004F25D7" w:rsidRPr="00D27522" w:rsidRDefault="004F25D7" w:rsidP="001C1BB0">
      <w:pPr>
        <w:spacing w:line="360" w:lineRule="auto"/>
        <w:jc w:val="both"/>
        <w:rPr>
          <w:rFonts w:ascii="Book Antiqua" w:hAnsi="Book Antiqua"/>
          <w:sz w:val="22"/>
          <w:szCs w:val="22"/>
          <w:lang w:val="en-AU"/>
        </w:rPr>
      </w:pPr>
    </w:p>
    <w:p w:rsidR="00893CAF" w:rsidRPr="00D27522" w:rsidRDefault="000E190B"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 xml:space="preserve">Part 2.4 of the Act </w:t>
      </w:r>
      <w:r w:rsidR="00A82CF9" w:rsidRPr="00D27522">
        <w:rPr>
          <w:rFonts w:ascii="Book Antiqua" w:hAnsi="Book Antiqua"/>
          <w:sz w:val="22"/>
          <w:szCs w:val="22"/>
          <w:lang w:val="en-AU"/>
        </w:rPr>
        <w:t xml:space="preserve">empowers </w:t>
      </w:r>
      <w:r w:rsidRPr="00D27522">
        <w:rPr>
          <w:rFonts w:ascii="Book Antiqua" w:hAnsi="Book Antiqua"/>
          <w:sz w:val="22"/>
          <w:szCs w:val="22"/>
          <w:lang w:val="en-AU"/>
        </w:rPr>
        <w:t>the Court powers to i</w:t>
      </w:r>
      <w:r w:rsidR="00A82CF9" w:rsidRPr="00D27522">
        <w:rPr>
          <w:rFonts w:ascii="Book Antiqua" w:hAnsi="Book Antiqua"/>
          <w:sz w:val="22"/>
          <w:szCs w:val="22"/>
          <w:lang w:val="en-AU"/>
        </w:rPr>
        <w:t>mpose</w:t>
      </w:r>
      <w:r w:rsidRPr="00D27522">
        <w:rPr>
          <w:rFonts w:ascii="Book Antiqua" w:hAnsi="Book Antiqua"/>
          <w:sz w:val="22"/>
          <w:szCs w:val="22"/>
          <w:lang w:val="en-AU"/>
        </w:rPr>
        <w:t xml:space="preserve"> sanction</w:t>
      </w:r>
      <w:r w:rsidR="00A82CF9" w:rsidRPr="00D27522">
        <w:rPr>
          <w:rFonts w:ascii="Book Antiqua" w:hAnsi="Book Antiqua"/>
          <w:sz w:val="22"/>
          <w:szCs w:val="22"/>
          <w:lang w:val="en-AU"/>
        </w:rPr>
        <w:t>s</w:t>
      </w:r>
      <w:r w:rsidRPr="00D27522">
        <w:rPr>
          <w:rFonts w:ascii="Book Antiqua" w:hAnsi="Book Antiqua"/>
          <w:sz w:val="22"/>
          <w:szCs w:val="22"/>
          <w:lang w:val="en-AU"/>
        </w:rPr>
        <w:t xml:space="preserve"> for contraventions </w:t>
      </w:r>
      <w:r w:rsidR="00893CAF" w:rsidRPr="00D27522">
        <w:rPr>
          <w:rFonts w:ascii="Book Antiqua" w:hAnsi="Book Antiqua"/>
          <w:sz w:val="22"/>
          <w:szCs w:val="22"/>
          <w:lang w:val="en-AU"/>
        </w:rPr>
        <w:t xml:space="preserve">of the overarching obligations, and provides a broad disciplinary power. Section 28 provides that in exercising </w:t>
      </w:r>
      <w:r w:rsidR="00893CAF" w:rsidRPr="00D27522">
        <w:rPr>
          <w:rFonts w:ascii="Book Antiqua" w:hAnsi="Book Antiqua"/>
          <w:i/>
          <w:sz w:val="22"/>
          <w:szCs w:val="22"/>
          <w:lang w:val="en-AU"/>
        </w:rPr>
        <w:t>any</w:t>
      </w:r>
      <w:r w:rsidR="00893CAF" w:rsidRPr="00D27522">
        <w:rPr>
          <w:rFonts w:ascii="Book Antiqua" w:hAnsi="Book Antiqua"/>
          <w:sz w:val="22"/>
          <w:szCs w:val="22"/>
          <w:lang w:val="en-AU"/>
        </w:rPr>
        <w:t xml:space="preserve"> power in relation to a civil proceeding, a court may take into account </w:t>
      </w:r>
      <w:r w:rsidR="00893CAF" w:rsidRPr="00D27522">
        <w:rPr>
          <w:rFonts w:ascii="Book Antiqua" w:hAnsi="Book Antiqua"/>
          <w:i/>
          <w:sz w:val="22"/>
          <w:szCs w:val="22"/>
          <w:lang w:val="en-AU"/>
        </w:rPr>
        <w:t>any</w:t>
      </w:r>
      <w:r w:rsidR="00893CAF" w:rsidRPr="00D27522">
        <w:rPr>
          <w:rFonts w:ascii="Book Antiqua" w:hAnsi="Book Antiqua"/>
          <w:sz w:val="22"/>
          <w:szCs w:val="22"/>
          <w:lang w:val="en-AU"/>
        </w:rPr>
        <w:t xml:space="preserve"> contravention of the overarching obligations. </w:t>
      </w:r>
      <w:r w:rsidR="00A82CF9" w:rsidRPr="00D27522">
        <w:rPr>
          <w:rFonts w:ascii="Book Antiqua" w:hAnsi="Book Antiqua"/>
          <w:sz w:val="22"/>
          <w:szCs w:val="22"/>
          <w:lang w:val="en-AU"/>
        </w:rPr>
        <w:t xml:space="preserve">Under </w:t>
      </w:r>
      <w:r w:rsidR="00893CAF" w:rsidRPr="00D27522">
        <w:rPr>
          <w:rFonts w:ascii="Book Antiqua" w:hAnsi="Book Antiqua"/>
          <w:sz w:val="22"/>
          <w:szCs w:val="22"/>
          <w:lang w:val="en-AU"/>
        </w:rPr>
        <w:t>sub-section</w:t>
      </w:r>
      <w:r w:rsidR="00A82CF9" w:rsidRPr="00D27522">
        <w:rPr>
          <w:rFonts w:ascii="Book Antiqua" w:hAnsi="Book Antiqua"/>
          <w:sz w:val="22"/>
          <w:szCs w:val="22"/>
          <w:lang w:val="en-AU"/>
        </w:rPr>
        <w:t xml:space="preserve"> 28</w:t>
      </w:r>
      <w:r w:rsidR="00893CAF" w:rsidRPr="00D27522">
        <w:rPr>
          <w:rFonts w:ascii="Book Antiqua" w:hAnsi="Book Antiqua"/>
          <w:sz w:val="22"/>
          <w:szCs w:val="22"/>
          <w:lang w:val="en-AU"/>
        </w:rPr>
        <w:t xml:space="preserve">(2), the </w:t>
      </w:r>
      <w:r w:rsidR="00A82CF9" w:rsidRPr="00D27522">
        <w:rPr>
          <w:rFonts w:ascii="Book Antiqua" w:hAnsi="Book Antiqua"/>
          <w:sz w:val="22"/>
          <w:szCs w:val="22"/>
          <w:lang w:val="en-AU"/>
        </w:rPr>
        <w:t>C</w:t>
      </w:r>
      <w:r w:rsidR="00893CAF" w:rsidRPr="00D27522">
        <w:rPr>
          <w:rFonts w:ascii="Book Antiqua" w:hAnsi="Book Antiqua"/>
          <w:sz w:val="22"/>
          <w:szCs w:val="22"/>
          <w:lang w:val="en-AU"/>
        </w:rPr>
        <w:t xml:space="preserve">ourt </w:t>
      </w:r>
      <w:r w:rsidR="00A82CF9" w:rsidRPr="00D27522">
        <w:rPr>
          <w:rFonts w:ascii="Book Antiqua" w:hAnsi="Book Antiqua"/>
          <w:sz w:val="22"/>
          <w:szCs w:val="22"/>
          <w:lang w:val="en-AU"/>
        </w:rPr>
        <w:t>may</w:t>
      </w:r>
      <w:r w:rsidR="00893CAF" w:rsidRPr="00D27522">
        <w:rPr>
          <w:rFonts w:ascii="Book Antiqua" w:hAnsi="Book Antiqua"/>
          <w:sz w:val="22"/>
          <w:szCs w:val="22"/>
          <w:lang w:val="en-AU"/>
        </w:rPr>
        <w:t xml:space="preserve"> take into account </w:t>
      </w:r>
      <w:r w:rsidR="00893CAF" w:rsidRPr="00D27522">
        <w:rPr>
          <w:rFonts w:ascii="Book Antiqua" w:hAnsi="Book Antiqua"/>
          <w:i/>
          <w:sz w:val="22"/>
          <w:szCs w:val="22"/>
          <w:lang w:val="en-AU"/>
        </w:rPr>
        <w:t>any</w:t>
      </w:r>
      <w:r w:rsidR="00893CAF" w:rsidRPr="00D27522">
        <w:rPr>
          <w:rFonts w:ascii="Book Antiqua" w:hAnsi="Book Antiqua"/>
          <w:sz w:val="22"/>
          <w:szCs w:val="22"/>
          <w:lang w:val="en-AU"/>
        </w:rPr>
        <w:t xml:space="preserve"> contravention of the overarching obligations in exercising its discretion to costs. </w:t>
      </w:r>
      <w:r w:rsidR="00A82CF9" w:rsidRPr="00D27522">
        <w:rPr>
          <w:rFonts w:ascii="Book Antiqua" w:hAnsi="Book Antiqua"/>
          <w:sz w:val="22"/>
          <w:szCs w:val="22"/>
          <w:lang w:val="en-AU"/>
        </w:rPr>
        <w:t>These provisions</w:t>
      </w:r>
      <w:r w:rsidR="00893CAF" w:rsidRPr="00D27522">
        <w:rPr>
          <w:rFonts w:ascii="Book Antiqua" w:hAnsi="Book Antiqua"/>
          <w:sz w:val="22"/>
          <w:szCs w:val="22"/>
          <w:lang w:val="en-AU"/>
        </w:rPr>
        <w:t xml:space="preserve"> could not be couched in more definitive language. </w:t>
      </w:r>
      <w:r w:rsidR="009A1859">
        <w:rPr>
          <w:rFonts w:ascii="Book Antiqua" w:hAnsi="Book Antiqua"/>
          <w:sz w:val="22"/>
          <w:szCs w:val="22"/>
          <w:lang w:val="en-AU"/>
        </w:rPr>
        <w:t>Thus, the</w:t>
      </w:r>
      <w:r w:rsidR="009A1859" w:rsidRPr="00D27522">
        <w:rPr>
          <w:rFonts w:ascii="Book Antiqua" w:hAnsi="Book Antiqua"/>
          <w:sz w:val="22"/>
          <w:szCs w:val="22"/>
          <w:lang w:val="en-AU"/>
        </w:rPr>
        <w:t xml:space="preserve"> </w:t>
      </w:r>
      <w:r w:rsidR="00893CAF" w:rsidRPr="00D27522">
        <w:rPr>
          <w:rFonts w:ascii="Book Antiqua" w:hAnsi="Book Antiqua"/>
          <w:sz w:val="22"/>
          <w:szCs w:val="22"/>
          <w:lang w:val="en-AU"/>
        </w:rPr>
        <w:t>Court of Appeal said when discussing this section:</w:t>
      </w:r>
      <w:r w:rsidR="00893CAF" w:rsidRPr="00D27522">
        <w:rPr>
          <w:rStyle w:val="FootnoteReference"/>
          <w:rFonts w:ascii="Book Antiqua" w:hAnsi="Book Antiqua"/>
          <w:sz w:val="22"/>
          <w:szCs w:val="22"/>
          <w:lang w:val="en-AU"/>
        </w:rPr>
        <w:footnoteReference w:id="69"/>
      </w:r>
    </w:p>
    <w:p w:rsidR="00893CAF" w:rsidRPr="00D27522" w:rsidRDefault="00893CAF" w:rsidP="001C1BB0">
      <w:pPr>
        <w:spacing w:line="360" w:lineRule="auto"/>
        <w:jc w:val="both"/>
        <w:rPr>
          <w:rFonts w:ascii="Book Antiqua" w:hAnsi="Book Antiqua"/>
          <w:sz w:val="22"/>
          <w:szCs w:val="22"/>
          <w:lang w:val="en-AU"/>
        </w:rPr>
      </w:pPr>
    </w:p>
    <w:p w:rsidR="00893CAF" w:rsidRPr="00D27522" w:rsidRDefault="00893CAF" w:rsidP="00E511AF">
      <w:pPr>
        <w:ind w:left="1440" w:right="720"/>
        <w:jc w:val="both"/>
        <w:rPr>
          <w:rFonts w:ascii="Book Antiqua" w:hAnsi="Book Antiqua"/>
          <w:sz w:val="20"/>
          <w:szCs w:val="20"/>
          <w:lang w:val="en-AU"/>
        </w:rPr>
      </w:pPr>
      <w:r w:rsidRPr="00D27522">
        <w:rPr>
          <w:rFonts w:ascii="Book Antiqua" w:hAnsi="Book Antiqua"/>
          <w:sz w:val="20"/>
          <w:szCs w:val="20"/>
          <w:lang w:val="en-AU"/>
        </w:rPr>
        <w:t>“In our view, the enactment of s 29 together with s 28(2) imbues the Court with broad disciplinary powers that may be reflected in the costs orders that are made. The Court is given a powerful mechanism to exert greater control over the conduct of the parties and the</w:t>
      </w:r>
      <w:r w:rsidR="00EC60BF" w:rsidRPr="00D27522">
        <w:rPr>
          <w:rFonts w:ascii="Book Antiqua" w:hAnsi="Book Antiqua"/>
          <w:sz w:val="20"/>
          <w:szCs w:val="20"/>
          <w:lang w:val="en-AU"/>
        </w:rPr>
        <w:t>ir legal representatives</w:t>
      </w:r>
      <w:r w:rsidRPr="00D27522">
        <w:rPr>
          <w:rFonts w:ascii="Book Antiqua" w:hAnsi="Book Antiqua"/>
          <w:sz w:val="20"/>
          <w:szCs w:val="20"/>
          <w:lang w:val="en-AU"/>
        </w:rPr>
        <w:t>, and thus over the process of civil litigation and the use of its own limited resources.”</w:t>
      </w:r>
    </w:p>
    <w:p w:rsidR="00893CAF" w:rsidRPr="00D27522" w:rsidRDefault="00893CAF" w:rsidP="001C1BB0">
      <w:pPr>
        <w:spacing w:line="360" w:lineRule="auto"/>
        <w:jc w:val="both"/>
        <w:rPr>
          <w:rFonts w:ascii="Book Antiqua" w:hAnsi="Book Antiqua"/>
          <w:sz w:val="22"/>
          <w:szCs w:val="22"/>
          <w:lang w:val="en-AU"/>
        </w:rPr>
      </w:pPr>
    </w:p>
    <w:p w:rsidR="0083298B" w:rsidRPr="00D27522" w:rsidRDefault="0083298B" w:rsidP="001C1BB0">
      <w:pPr>
        <w:spacing w:line="360" w:lineRule="auto"/>
        <w:jc w:val="both"/>
        <w:rPr>
          <w:rFonts w:ascii="Book Antiqua" w:hAnsi="Book Antiqua"/>
          <w:sz w:val="22"/>
          <w:szCs w:val="22"/>
          <w:lang w:val="en-AU"/>
        </w:rPr>
      </w:pPr>
    </w:p>
    <w:p w:rsidR="00EC60BF" w:rsidRPr="00D27522" w:rsidRDefault="008B3BCB"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Section 29 empower</w:t>
      </w:r>
      <w:r w:rsidR="0083298B" w:rsidRPr="00D27522">
        <w:rPr>
          <w:rFonts w:ascii="Book Antiqua" w:hAnsi="Book Antiqua"/>
          <w:sz w:val="22"/>
          <w:szCs w:val="22"/>
          <w:lang w:val="en-AU"/>
        </w:rPr>
        <w:t>s the Court to “make any order it considers appropriate in the interests of justice” – and then provides a variety of options in this respect. These specific provisions are inclusive rather than exclusive provisions so do not in any way limit the general power conferred by s 29.</w:t>
      </w:r>
      <w:r w:rsidR="00EC60BF" w:rsidRPr="00D27522">
        <w:rPr>
          <w:rFonts w:ascii="Book Antiqua" w:hAnsi="Book Antiqua"/>
          <w:sz w:val="22"/>
          <w:szCs w:val="22"/>
          <w:lang w:val="en-AU"/>
        </w:rPr>
        <w:t xml:space="preserve"> Sub-section</w:t>
      </w:r>
      <w:r w:rsidR="0083298B" w:rsidRPr="00D27522">
        <w:rPr>
          <w:rFonts w:ascii="Book Antiqua" w:hAnsi="Book Antiqua"/>
          <w:sz w:val="22"/>
          <w:szCs w:val="22"/>
          <w:lang w:val="en-AU"/>
        </w:rPr>
        <w:t xml:space="preserve"> 29</w:t>
      </w:r>
      <w:r w:rsidR="00EC60BF" w:rsidRPr="00D27522">
        <w:rPr>
          <w:rFonts w:ascii="Book Antiqua" w:hAnsi="Book Antiqua"/>
          <w:sz w:val="22"/>
          <w:szCs w:val="22"/>
          <w:lang w:val="en-AU"/>
        </w:rPr>
        <w:t xml:space="preserve">(2) again emphasises the </w:t>
      </w:r>
      <w:r w:rsidR="0083298B" w:rsidRPr="00D27522">
        <w:rPr>
          <w:rFonts w:ascii="Book Antiqua" w:hAnsi="Book Antiqua"/>
          <w:sz w:val="22"/>
          <w:szCs w:val="22"/>
          <w:lang w:val="en-AU"/>
        </w:rPr>
        <w:t>all-embracing nature of the genera</w:t>
      </w:r>
      <w:r w:rsidRPr="00D27522">
        <w:rPr>
          <w:rFonts w:ascii="Book Antiqua" w:hAnsi="Book Antiqua"/>
          <w:sz w:val="22"/>
          <w:szCs w:val="22"/>
          <w:lang w:val="en-AU"/>
        </w:rPr>
        <w:t>l</w:t>
      </w:r>
      <w:r w:rsidR="0083298B" w:rsidRPr="00D27522">
        <w:rPr>
          <w:rFonts w:ascii="Book Antiqua" w:hAnsi="Book Antiqua"/>
          <w:sz w:val="22"/>
          <w:szCs w:val="22"/>
          <w:lang w:val="en-AU"/>
        </w:rPr>
        <w:t xml:space="preserve"> power; providing</w:t>
      </w:r>
      <w:r w:rsidR="009A1859">
        <w:rPr>
          <w:rFonts w:ascii="Book Antiqua" w:hAnsi="Book Antiqua"/>
          <w:sz w:val="22"/>
          <w:szCs w:val="22"/>
          <w:lang w:val="en-AU"/>
        </w:rPr>
        <w:t xml:space="preserve"> that</w:t>
      </w:r>
      <w:r w:rsidR="0083298B" w:rsidRPr="00D27522">
        <w:rPr>
          <w:rFonts w:ascii="Book Antiqua" w:hAnsi="Book Antiqua"/>
          <w:sz w:val="22"/>
          <w:szCs w:val="22"/>
          <w:lang w:val="en-AU"/>
        </w:rPr>
        <w:t xml:space="preserve"> an</w:t>
      </w:r>
      <w:r w:rsidR="00EC60BF" w:rsidRPr="00D27522">
        <w:rPr>
          <w:rFonts w:ascii="Book Antiqua" w:hAnsi="Book Antiqua"/>
          <w:sz w:val="22"/>
          <w:szCs w:val="22"/>
          <w:lang w:val="en-AU"/>
        </w:rPr>
        <w:t xml:space="preserve"> </w:t>
      </w:r>
      <w:r w:rsidR="0083298B" w:rsidRPr="00D27522">
        <w:rPr>
          <w:rFonts w:ascii="Book Antiqua" w:hAnsi="Book Antiqua"/>
          <w:sz w:val="22"/>
          <w:szCs w:val="22"/>
          <w:lang w:val="en-AU"/>
        </w:rPr>
        <w:t>order under these provisions</w:t>
      </w:r>
      <w:r w:rsidR="009A1859">
        <w:rPr>
          <w:rFonts w:ascii="Book Antiqua" w:hAnsi="Book Antiqua"/>
          <w:sz w:val="22"/>
          <w:szCs w:val="22"/>
          <w:lang w:val="en-AU"/>
        </w:rPr>
        <w:t xml:space="preserve"> </w:t>
      </w:r>
      <w:r w:rsidR="00EC60BF" w:rsidRPr="00D27522">
        <w:rPr>
          <w:rFonts w:ascii="Book Antiqua" w:hAnsi="Book Antiqua"/>
          <w:sz w:val="22"/>
          <w:szCs w:val="22"/>
          <w:lang w:val="en-AU"/>
        </w:rPr>
        <w:t>may be made on the application of any party to the proceeding or where that party, has in the opinion of the court, a sufficient interest in the proceeding, or on the court’s own motion.</w:t>
      </w:r>
    </w:p>
    <w:p w:rsidR="00EC60BF" w:rsidRPr="00D27522" w:rsidRDefault="00EC60BF" w:rsidP="001C1BB0">
      <w:pPr>
        <w:spacing w:line="360" w:lineRule="auto"/>
        <w:jc w:val="both"/>
        <w:rPr>
          <w:rFonts w:ascii="Book Antiqua" w:hAnsi="Book Antiqua"/>
          <w:sz w:val="22"/>
          <w:szCs w:val="22"/>
          <w:lang w:val="en-AU"/>
        </w:rPr>
      </w:pPr>
    </w:p>
    <w:p w:rsidR="0060747E" w:rsidRPr="00D27522" w:rsidRDefault="00EC60BF"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 xml:space="preserve">The Court </w:t>
      </w:r>
      <w:r w:rsidR="009A1859">
        <w:rPr>
          <w:rFonts w:ascii="Book Antiqua" w:hAnsi="Book Antiqua"/>
          <w:sz w:val="22"/>
          <w:szCs w:val="22"/>
          <w:lang w:val="en-AU"/>
        </w:rPr>
        <w:t xml:space="preserve">of Appeal </w:t>
      </w:r>
      <w:r w:rsidR="0083298B" w:rsidRPr="00D27522">
        <w:rPr>
          <w:rFonts w:ascii="Book Antiqua" w:hAnsi="Book Antiqua"/>
          <w:sz w:val="22"/>
          <w:szCs w:val="22"/>
          <w:lang w:val="en-AU"/>
        </w:rPr>
        <w:t>considered</w:t>
      </w:r>
      <w:r w:rsidRPr="00D27522">
        <w:rPr>
          <w:rFonts w:ascii="Book Antiqua" w:hAnsi="Book Antiqua"/>
          <w:sz w:val="22"/>
          <w:szCs w:val="22"/>
          <w:lang w:val="en-AU"/>
        </w:rPr>
        <w:t xml:space="preserve"> the </w:t>
      </w:r>
      <w:r w:rsidR="00D913AF" w:rsidRPr="00D27522">
        <w:rPr>
          <w:rFonts w:ascii="Book Antiqua" w:hAnsi="Book Antiqua"/>
          <w:i/>
          <w:sz w:val="22"/>
          <w:szCs w:val="22"/>
          <w:lang w:val="en-AU"/>
        </w:rPr>
        <w:t>Civil Procedure Act</w:t>
      </w:r>
      <w:r w:rsidR="0083298B" w:rsidRPr="00D27522">
        <w:rPr>
          <w:rFonts w:ascii="Book Antiqua" w:hAnsi="Book Antiqua"/>
          <w:i/>
          <w:sz w:val="22"/>
          <w:szCs w:val="22"/>
          <w:lang w:val="en-AU"/>
        </w:rPr>
        <w:t xml:space="preserve"> </w:t>
      </w:r>
      <w:r w:rsidR="0083298B" w:rsidRPr="00D27522">
        <w:rPr>
          <w:rFonts w:ascii="Book Antiqua" w:hAnsi="Book Antiqua"/>
          <w:sz w:val="22"/>
          <w:szCs w:val="22"/>
          <w:lang w:val="en-AU"/>
        </w:rPr>
        <w:t>2005</w:t>
      </w:r>
      <w:r w:rsidR="0083298B" w:rsidRPr="00D27522">
        <w:rPr>
          <w:rFonts w:ascii="Book Antiqua" w:hAnsi="Book Antiqua"/>
          <w:i/>
          <w:sz w:val="22"/>
          <w:szCs w:val="22"/>
          <w:lang w:val="en-AU"/>
        </w:rPr>
        <w:t xml:space="preserve"> (NSW) </w:t>
      </w:r>
      <w:r w:rsidR="0083298B" w:rsidRPr="00D27522">
        <w:rPr>
          <w:rFonts w:ascii="Book Antiqua" w:hAnsi="Book Antiqua"/>
          <w:sz w:val="22"/>
          <w:szCs w:val="22"/>
          <w:lang w:val="en-AU"/>
        </w:rPr>
        <w:t>then</w:t>
      </w:r>
      <w:r w:rsidR="00D913AF" w:rsidRPr="00D27522">
        <w:rPr>
          <w:rFonts w:ascii="Book Antiqua" w:hAnsi="Book Antiqua"/>
          <w:sz w:val="22"/>
          <w:szCs w:val="22"/>
          <w:lang w:val="en-AU"/>
        </w:rPr>
        <w:t xml:space="preserve"> </w:t>
      </w:r>
      <w:r w:rsidR="0083298B" w:rsidRPr="00D27522">
        <w:rPr>
          <w:rFonts w:ascii="Book Antiqua" w:hAnsi="Book Antiqua"/>
          <w:sz w:val="22"/>
          <w:szCs w:val="22"/>
          <w:lang w:val="en-AU"/>
        </w:rPr>
        <w:t>observed</w:t>
      </w:r>
      <w:r w:rsidR="00D913AF" w:rsidRPr="00D27522">
        <w:rPr>
          <w:rFonts w:ascii="Book Antiqua" w:hAnsi="Book Antiqua"/>
          <w:sz w:val="22"/>
          <w:szCs w:val="22"/>
          <w:lang w:val="en-AU"/>
        </w:rPr>
        <w:t xml:space="preserve"> that s 29 provides powers broader than any other jurisdiction in Australia to sanction legal practitioners and parties who fail to meet their obligations. The NSW Act has a similar overriding purpose to “facilitate the just, quick and cheap resolution of the</w:t>
      </w:r>
      <w:r w:rsidR="00367BCC">
        <w:rPr>
          <w:rFonts w:ascii="Book Antiqua" w:hAnsi="Book Antiqua"/>
          <w:sz w:val="22"/>
          <w:szCs w:val="22"/>
          <w:lang w:val="en-AU"/>
        </w:rPr>
        <w:t xml:space="preserve"> real issues in the proceeding”,</w:t>
      </w:r>
      <w:r w:rsidR="00D913AF" w:rsidRPr="00D27522">
        <w:rPr>
          <w:rStyle w:val="FootnoteReference"/>
          <w:rFonts w:ascii="Book Antiqua" w:hAnsi="Book Antiqua"/>
          <w:sz w:val="22"/>
          <w:szCs w:val="22"/>
          <w:lang w:val="en-AU"/>
        </w:rPr>
        <w:footnoteReference w:id="70"/>
      </w:r>
      <w:r w:rsidR="00D913AF" w:rsidRPr="00D27522">
        <w:rPr>
          <w:rFonts w:ascii="Book Antiqua" w:hAnsi="Book Antiqua"/>
          <w:sz w:val="22"/>
          <w:szCs w:val="22"/>
          <w:lang w:val="en-AU"/>
        </w:rPr>
        <w:t xml:space="preserve"> and while it pr</w:t>
      </w:r>
      <w:r w:rsidR="0060747E" w:rsidRPr="00D27522">
        <w:rPr>
          <w:rFonts w:ascii="Book Antiqua" w:hAnsi="Book Antiqua"/>
          <w:sz w:val="22"/>
          <w:szCs w:val="22"/>
          <w:lang w:val="en-AU"/>
        </w:rPr>
        <w:t xml:space="preserve">ovides more specific obligations such as effective case management and alternative dispute resolution procedures, the Court </w:t>
      </w:r>
      <w:r w:rsidR="0083298B" w:rsidRPr="00D27522">
        <w:rPr>
          <w:rFonts w:ascii="Book Antiqua" w:hAnsi="Book Antiqua"/>
          <w:sz w:val="22"/>
          <w:szCs w:val="22"/>
          <w:lang w:val="en-AU"/>
        </w:rPr>
        <w:t xml:space="preserve">said </w:t>
      </w:r>
      <w:r w:rsidR="0060747E" w:rsidRPr="00D27522">
        <w:rPr>
          <w:rFonts w:ascii="Book Antiqua" w:hAnsi="Book Antiqua"/>
          <w:sz w:val="22"/>
          <w:szCs w:val="22"/>
          <w:lang w:val="en-AU"/>
        </w:rPr>
        <w:t xml:space="preserve">that the NSW provisions remain more “aspirational than obligatory”. Similarly, the Court found that s 29 of the Act provides the Court with broader and more flexible powers than under the </w:t>
      </w:r>
      <w:r w:rsidR="0060747E" w:rsidRPr="00D27522">
        <w:rPr>
          <w:rFonts w:ascii="Book Antiqua" w:hAnsi="Book Antiqua"/>
          <w:i/>
          <w:sz w:val="22"/>
          <w:szCs w:val="22"/>
          <w:lang w:val="en-AU"/>
        </w:rPr>
        <w:t>Supreme Court (General Civil Procedure) Rules</w:t>
      </w:r>
      <w:r w:rsidR="0060747E" w:rsidRPr="00D27522">
        <w:rPr>
          <w:rFonts w:ascii="Book Antiqua" w:hAnsi="Book Antiqua"/>
          <w:sz w:val="22"/>
          <w:szCs w:val="22"/>
          <w:lang w:val="en-AU"/>
        </w:rPr>
        <w:t xml:space="preserve"> 2005 (the Rules), or even under its inherent power. While the powers under r 63.23(1) of the Rules are not punitive or disciplinary in nature, but rather act as a form of compensation, enabling reimbursement of a party’s costs incurred because of the default of the solicitor,</w:t>
      </w:r>
      <w:r w:rsidR="0060747E" w:rsidRPr="00D27522">
        <w:rPr>
          <w:rStyle w:val="FootnoteReference"/>
          <w:rFonts w:ascii="Book Antiqua" w:hAnsi="Book Antiqua"/>
          <w:sz w:val="22"/>
          <w:szCs w:val="22"/>
          <w:lang w:val="en-AU"/>
        </w:rPr>
        <w:footnoteReference w:id="71"/>
      </w:r>
      <w:r w:rsidR="0060747E" w:rsidRPr="00D27522">
        <w:rPr>
          <w:rFonts w:ascii="Book Antiqua" w:hAnsi="Book Antiqua"/>
          <w:sz w:val="22"/>
          <w:szCs w:val="22"/>
          <w:lang w:val="en-AU"/>
        </w:rPr>
        <w:t xml:space="preserve"> the powers under s 29 place the sword firmly in the hands of the Court. In discussing the breadth of s 29, the Court said:</w:t>
      </w:r>
      <w:r w:rsidR="002072FF">
        <w:rPr>
          <w:rStyle w:val="FootnoteReference"/>
          <w:rFonts w:ascii="Book Antiqua" w:hAnsi="Book Antiqua"/>
          <w:sz w:val="22"/>
          <w:szCs w:val="22"/>
          <w:lang w:val="en-AU"/>
        </w:rPr>
        <w:footnoteReference w:id="72"/>
      </w:r>
    </w:p>
    <w:p w:rsidR="0060747E" w:rsidRPr="00D27522" w:rsidRDefault="0060747E" w:rsidP="001C1BB0">
      <w:pPr>
        <w:spacing w:line="360" w:lineRule="auto"/>
        <w:jc w:val="both"/>
        <w:rPr>
          <w:rFonts w:ascii="Book Antiqua" w:hAnsi="Book Antiqua"/>
          <w:sz w:val="22"/>
          <w:szCs w:val="22"/>
          <w:lang w:val="en-AU"/>
        </w:rPr>
      </w:pPr>
    </w:p>
    <w:p w:rsidR="00C074A2" w:rsidRPr="00D27522" w:rsidRDefault="0060747E" w:rsidP="00E511AF">
      <w:pPr>
        <w:ind w:left="1440" w:right="720"/>
        <w:jc w:val="both"/>
        <w:rPr>
          <w:rFonts w:ascii="Book Antiqua" w:hAnsi="Book Antiqua"/>
          <w:sz w:val="20"/>
          <w:szCs w:val="20"/>
          <w:lang w:val="en-AU"/>
        </w:rPr>
      </w:pPr>
      <w:r w:rsidRPr="00D27522">
        <w:rPr>
          <w:rFonts w:ascii="Book Antiqua" w:hAnsi="Book Antiqua"/>
          <w:sz w:val="20"/>
          <w:szCs w:val="20"/>
          <w:lang w:val="en-AU"/>
        </w:rPr>
        <w:t xml:space="preserve">“The Court’s powers under s 29 include the </w:t>
      </w:r>
      <w:r w:rsidR="00C074A2" w:rsidRPr="00D27522">
        <w:rPr>
          <w:rFonts w:ascii="Book Antiqua" w:hAnsi="Book Antiqua"/>
          <w:sz w:val="20"/>
          <w:szCs w:val="20"/>
          <w:lang w:val="en-AU"/>
        </w:rPr>
        <w:t>p</w:t>
      </w:r>
      <w:r w:rsidRPr="00D27522">
        <w:rPr>
          <w:rFonts w:ascii="Book Antiqua" w:hAnsi="Book Antiqua"/>
          <w:sz w:val="20"/>
          <w:szCs w:val="20"/>
          <w:lang w:val="en-AU"/>
        </w:rPr>
        <w:t>ower to sanction legal practitioners and parties for a contravention of their obligations as the heading to Part 2.4 indicates.</w:t>
      </w:r>
      <w:r w:rsidR="00C074A2" w:rsidRPr="00D27522">
        <w:rPr>
          <w:rFonts w:ascii="Book Antiqua" w:hAnsi="Book Antiqua"/>
          <w:sz w:val="20"/>
          <w:szCs w:val="20"/>
          <w:lang w:val="en-AU"/>
        </w:rPr>
        <w:t xml:space="preserve"> In our view, these powers are intended to make all those involved in the conduct of litigation – parties and practitioners – accountable for the just, efficient, timely and cost effective resolution of disputes.”</w:t>
      </w:r>
    </w:p>
    <w:p w:rsidR="00C074A2" w:rsidRPr="00D27522" w:rsidRDefault="00C074A2" w:rsidP="001C1BB0">
      <w:pPr>
        <w:spacing w:line="360" w:lineRule="auto"/>
        <w:jc w:val="both"/>
        <w:rPr>
          <w:rFonts w:ascii="Book Antiqua" w:hAnsi="Book Antiqua"/>
          <w:sz w:val="22"/>
          <w:szCs w:val="22"/>
          <w:lang w:val="en-AU"/>
        </w:rPr>
      </w:pPr>
    </w:p>
    <w:p w:rsidR="00A34F9A" w:rsidRPr="00D27522" w:rsidRDefault="00C074A2"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 xml:space="preserve">The Court </w:t>
      </w:r>
      <w:r w:rsidR="0083298B" w:rsidRPr="00D27522">
        <w:rPr>
          <w:rFonts w:ascii="Book Antiqua" w:hAnsi="Book Antiqua"/>
          <w:sz w:val="22"/>
          <w:szCs w:val="22"/>
          <w:lang w:val="en-AU"/>
        </w:rPr>
        <w:t xml:space="preserve">of Appeal </w:t>
      </w:r>
      <w:r w:rsidRPr="00D27522">
        <w:rPr>
          <w:rFonts w:ascii="Book Antiqua" w:hAnsi="Book Antiqua"/>
          <w:sz w:val="22"/>
          <w:szCs w:val="22"/>
          <w:lang w:val="en-AU"/>
        </w:rPr>
        <w:t xml:space="preserve">then went on to articulate a number of the forms that a costs order may take when a breach of the obligations have occurred. In doing so, the Court of Appeal has </w:t>
      </w:r>
      <w:r w:rsidR="00A34F9A" w:rsidRPr="00D27522">
        <w:rPr>
          <w:rFonts w:ascii="Book Antiqua" w:hAnsi="Book Antiqua"/>
          <w:sz w:val="22"/>
          <w:szCs w:val="22"/>
          <w:lang w:val="en-AU"/>
        </w:rPr>
        <w:t>signalled</w:t>
      </w:r>
      <w:r w:rsidRPr="00D27522">
        <w:rPr>
          <w:rFonts w:ascii="Book Antiqua" w:hAnsi="Book Antiqua"/>
          <w:sz w:val="22"/>
          <w:szCs w:val="22"/>
          <w:lang w:val="en-AU"/>
        </w:rPr>
        <w:t xml:space="preserve"> that, moving forward, the powers under Act will be utilised to their full extent by the courts, to ensure that the overarching purpose of the Act  - to facilitate the just, efficient, timely and cost-effective resolution of the real issues in dispute –</w:t>
      </w:r>
      <w:r w:rsidR="00A34F9A" w:rsidRPr="00D27522">
        <w:rPr>
          <w:rFonts w:ascii="Book Antiqua" w:hAnsi="Book Antiqua"/>
          <w:sz w:val="22"/>
          <w:szCs w:val="22"/>
          <w:lang w:val="en-AU"/>
        </w:rPr>
        <w:t xml:space="preserve"> is achieved.</w:t>
      </w:r>
    </w:p>
    <w:p w:rsidR="00A34F9A" w:rsidRPr="00D27522" w:rsidRDefault="00A34F9A" w:rsidP="001C1BB0">
      <w:pPr>
        <w:spacing w:line="360" w:lineRule="auto"/>
        <w:jc w:val="both"/>
        <w:rPr>
          <w:rFonts w:ascii="Book Antiqua" w:hAnsi="Book Antiqua"/>
          <w:sz w:val="22"/>
          <w:szCs w:val="22"/>
          <w:lang w:val="en-AU"/>
        </w:rPr>
      </w:pPr>
    </w:p>
    <w:p w:rsidR="00A34F9A" w:rsidRPr="00D27522" w:rsidRDefault="00A34F9A"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The Court said:</w:t>
      </w:r>
      <w:r w:rsidRPr="00D27522">
        <w:rPr>
          <w:rStyle w:val="FootnoteReference"/>
          <w:rFonts w:ascii="Book Antiqua" w:hAnsi="Book Antiqua"/>
          <w:sz w:val="22"/>
          <w:szCs w:val="22"/>
          <w:lang w:val="en-AU"/>
        </w:rPr>
        <w:footnoteReference w:id="73"/>
      </w:r>
    </w:p>
    <w:p w:rsidR="00A34F9A" w:rsidRPr="00D27522" w:rsidRDefault="00A34F9A" w:rsidP="001C1BB0">
      <w:pPr>
        <w:spacing w:line="360" w:lineRule="auto"/>
        <w:jc w:val="both"/>
        <w:rPr>
          <w:rFonts w:ascii="Book Antiqua" w:hAnsi="Book Antiqua"/>
          <w:sz w:val="22"/>
          <w:szCs w:val="22"/>
          <w:lang w:val="en-AU"/>
        </w:rPr>
      </w:pPr>
    </w:p>
    <w:p w:rsidR="00D913AF" w:rsidRPr="00D27522" w:rsidRDefault="00A34F9A" w:rsidP="00E511AF">
      <w:pPr>
        <w:ind w:left="1440" w:right="720"/>
        <w:jc w:val="both"/>
        <w:rPr>
          <w:rFonts w:ascii="Book Antiqua" w:hAnsi="Book Antiqua"/>
          <w:sz w:val="20"/>
          <w:szCs w:val="20"/>
          <w:lang w:val="en-AU"/>
        </w:rPr>
      </w:pPr>
      <w:r w:rsidRPr="00D27522">
        <w:rPr>
          <w:rFonts w:ascii="Book Antiqua" w:hAnsi="Book Antiqua"/>
          <w:sz w:val="20"/>
          <w:szCs w:val="20"/>
          <w:lang w:val="en-AU"/>
        </w:rPr>
        <w:t>“</w:t>
      </w:r>
      <w:r w:rsidR="00C074A2" w:rsidRPr="00D27522">
        <w:rPr>
          <w:rFonts w:ascii="Book Antiqua" w:hAnsi="Book Antiqua"/>
          <w:sz w:val="20"/>
          <w:szCs w:val="20"/>
          <w:lang w:val="en-AU"/>
        </w:rPr>
        <w:t>Parliament has given the courts flexible means of distributing the cost burden upon and across those who fail to comply with their overarching obligations. A sanction which redistributes that burden may have the effect of compensating a party. It may take the form of a costs orders</w:t>
      </w:r>
      <w:r w:rsidRPr="00D27522">
        <w:rPr>
          <w:rFonts w:ascii="Book Antiqua" w:hAnsi="Book Antiqua"/>
          <w:sz w:val="20"/>
          <w:szCs w:val="20"/>
          <w:lang w:val="en-AU"/>
        </w:rPr>
        <w:t xml:space="preserve"> against a practitioner, an order that requires the practitioner to share the burden of a costs order made against their client or an order which deprives the practitioner of costs to which they would otherwise be entitled. The Act is clearly designed to influence the culture of litigation through the imposition of sanctions on those who do not observe their obligations.”</w:t>
      </w:r>
    </w:p>
    <w:p w:rsidR="00A34F9A" w:rsidRPr="00D27522" w:rsidRDefault="00A34F9A" w:rsidP="001C1BB0">
      <w:pPr>
        <w:spacing w:line="360" w:lineRule="auto"/>
        <w:jc w:val="both"/>
        <w:rPr>
          <w:rFonts w:ascii="Book Antiqua" w:hAnsi="Book Antiqua"/>
          <w:sz w:val="22"/>
          <w:szCs w:val="22"/>
          <w:lang w:val="en-AU"/>
        </w:rPr>
      </w:pPr>
    </w:p>
    <w:p w:rsidR="00A34F9A" w:rsidRPr="00D27522" w:rsidRDefault="00A34F9A"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The Court of Appeal ordered that the applicant pay the respondent’s cost of the application and then, in a decision that will send a clear message to the legal profession, ordered that the applicant’s solicitor indemnify the applicant for 50% of the respondent’s costs incurred as a consequence of the unnecessary or excessive content of the applications books.</w:t>
      </w:r>
    </w:p>
    <w:p w:rsidR="0069445C" w:rsidRPr="00D27522" w:rsidRDefault="0069445C" w:rsidP="001C1BB0">
      <w:pPr>
        <w:spacing w:line="360" w:lineRule="auto"/>
        <w:jc w:val="both"/>
        <w:rPr>
          <w:rFonts w:ascii="Book Antiqua" w:hAnsi="Book Antiqua"/>
          <w:sz w:val="22"/>
          <w:szCs w:val="22"/>
          <w:lang w:val="en-AU"/>
        </w:rPr>
      </w:pPr>
    </w:p>
    <w:p w:rsidR="00DD4D30" w:rsidRPr="00D11DBD" w:rsidRDefault="00DD4D30" w:rsidP="001C1BB0">
      <w:pPr>
        <w:spacing w:line="360" w:lineRule="auto"/>
        <w:jc w:val="both"/>
        <w:rPr>
          <w:rFonts w:ascii="Book Antiqua" w:hAnsi="Book Antiqua"/>
          <w:b/>
          <w:u w:val="single"/>
          <w:lang w:val="en-AU"/>
        </w:rPr>
      </w:pPr>
      <w:r w:rsidRPr="00D11DBD">
        <w:rPr>
          <w:rFonts w:ascii="Book Antiqua" w:hAnsi="Book Antiqua"/>
          <w:b/>
          <w:u w:val="single"/>
          <w:lang w:val="en-AU"/>
        </w:rPr>
        <w:t>Obligation to minimise delay</w:t>
      </w:r>
    </w:p>
    <w:p w:rsidR="00A34F9A" w:rsidRPr="00D27522" w:rsidRDefault="00A34F9A" w:rsidP="001C1BB0">
      <w:pPr>
        <w:spacing w:line="360" w:lineRule="auto"/>
        <w:jc w:val="both"/>
        <w:rPr>
          <w:rFonts w:ascii="Book Antiqua" w:hAnsi="Book Antiqua"/>
          <w:sz w:val="22"/>
          <w:szCs w:val="22"/>
          <w:lang w:val="en-AU"/>
        </w:rPr>
      </w:pPr>
    </w:p>
    <w:p w:rsidR="00E72C5B" w:rsidRPr="00D27522" w:rsidRDefault="00A34F9A"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 xml:space="preserve">The decision in the </w:t>
      </w:r>
      <w:r w:rsidRPr="00D27522">
        <w:rPr>
          <w:rFonts w:ascii="Book Antiqua" w:hAnsi="Book Antiqua"/>
          <w:i/>
          <w:sz w:val="22"/>
          <w:szCs w:val="22"/>
          <w:lang w:val="en-AU"/>
        </w:rPr>
        <w:t xml:space="preserve">Oswal </w:t>
      </w:r>
      <w:r w:rsidR="009A1859">
        <w:rPr>
          <w:rFonts w:ascii="Book Antiqua" w:hAnsi="Book Antiqua"/>
          <w:i/>
          <w:sz w:val="22"/>
          <w:szCs w:val="22"/>
          <w:lang w:val="en-AU"/>
        </w:rPr>
        <w:t>P</w:t>
      </w:r>
      <w:r w:rsidRPr="00D27522">
        <w:rPr>
          <w:rFonts w:ascii="Book Antiqua" w:hAnsi="Book Antiqua"/>
          <w:i/>
          <w:sz w:val="22"/>
          <w:szCs w:val="22"/>
          <w:lang w:val="en-AU"/>
        </w:rPr>
        <w:t>roceedings</w:t>
      </w:r>
      <w:r w:rsidRPr="00D27522">
        <w:rPr>
          <w:rFonts w:ascii="Book Antiqua" w:hAnsi="Book Antiqua"/>
          <w:sz w:val="22"/>
          <w:szCs w:val="22"/>
          <w:lang w:val="en-AU"/>
        </w:rPr>
        <w:t xml:space="preserve"> has sent a clear and powerfu</w:t>
      </w:r>
      <w:r w:rsidR="00E72C5B" w:rsidRPr="00D27522">
        <w:rPr>
          <w:rFonts w:ascii="Book Antiqua" w:hAnsi="Book Antiqua"/>
          <w:sz w:val="22"/>
          <w:szCs w:val="22"/>
          <w:lang w:val="en-AU"/>
        </w:rPr>
        <w:t xml:space="preserve">l message that courts must take a strong stance against practitioners who exercise little concern for their obligations to ensure costs are reasonable and proportionate under s 24 of the Act. In doing so, courts can ensure more efficient civil litigation practice becomes embedded in the civil litigation culture, both freeing up court resources while maintaining public confidence in the system </w:t>
      </w:r>
    </w:p>
    <w:p w:rsidR="00E72C5B" w:rsidRPr="00D27522" w:rsidRDefault="00E72C5B" w:rsidP="001C1BB0">
      <w:pPr>
        <w:spacing w:line="360" w:lineRule="auto"/>
        <w:jc w:val="both"/>
        <w:rPr>
          <w:rFonts w:ascii="Book Antiqua" w:hAnsi="Book Antiqua"/>
          <w:sz w:val="22"/>
          <w:szCs w:val="22"/>
          <w:lang w:val="en-AU"/>
        </w:rPr>
      </w:pPr>
    </w:p>
    <w:p w:rsidR="006761EC" w:rsidRPr="00D27522" w:rsidRDefault="00E72C5B"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Section 25 of the Act provides that for the purpose of ensuring the prompt conduct of a civil proceeding</w:t>
      </w:r>
      <w:r w:rsidR="006761EC" w:rsidRPr="00D27522">
        <w:rPr>
          <w:rFonts w:ascii="Book Antiqua" w:hAnsi="Book Antiqua"/>
          <w:sz w:val="22"/>
          <w:szCs w:val="22"/>
          <w:lang w:val="en-AU"/>
        </w:rPr>
        <w:t>, a person to whom the overarching obligations must use reasonable endeavours in connection with the civil proceeding to act promptly and to minimise delay.</w:t>
      </w:r>
    </w:p>
    <w:p w:rsidR="006761EC" w:rsidRPr="00D27522" w:rsidRDefault="006761EC" w:rsidP="001C1BB0">
      <w:pPr>
        <w:spacing w:line="360" w:lineRule="auto"/>
        <w:jc w:val="both"/>
        <w:rPr>
          <w:rFonts w:ascii="Book Antiqua" w:hAnsi="Book Antiqua"/>
          <w:sz w:val="22"/>
          <w:szCs w:val="22"/>
          <w:lang w:val="en-AU"/>
        </w:rPr>
      </w:pPr>
    </w:p>
    <w:p w:rsidR="00A93314" w:rsidRPr="00D27522" w:rsidRDefault="006761EC"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 xml:space="preserve">A number of recent cases in the Supreme Court have </w:t>
      </w:r>
      <w:r w:rsidR="0083298B" w:rsidRPr="00D27522">
        <w:rPr>
          <w:rFonts w:ascii="Book Antiqua" w:hAnsi="Book Antiqua"/>
          <w:sz w:val="22"/>
          <w:szCs w:val="22"/>
          <w:lang w:val="en-AU"/>
        </w:rPr>
        <w:t xml:space="preserve">indicated </w:t>
      </w:r>
      <w:r w:rsidRPr="00D27522">
        <w:rPr>
          <w:rFonts w:ascii="Book Antiqua" w:hAnsi="Book Antiqua"/>
          <w:sz w:val="22"/>
          <w:szCs w:val="22"/>
          <w:lang w:val="en-AU"/>
        </w:rPr>
        <w:t xml:space="preserve">that - along with ensuring the obligations under s 24 are closely followed - the Court </w:t>
      </w:r>
      <w:r w:rsidR="00210619" w:rsidRPr="00D27522">
        <w:rPr>
          <w:rFonts w:ascii="Book Antiqua" w:hAnsi="Book Antiqua"/>
          <w:sz w:val="22"/>
          <w:szCs w:val="22"/>
          <w:lang w:val="en-AU"/>
        </w:rPr>
        <w:t>will apply</w:t>
      </w:r>
      <w:r w:rsidRPr="00D27522">
        <w:rPr>
          <w:rFonts w:ascii="Book Antiqua" w:hAnsi="Book Antiqua"/>
          <w:sz w:val="22"/>
          <w:szCs w:val="22"/>
          <w:lang w:val="en-AU"/>
        </w:rPr>
        <w:t xml:space="preserve"> the provisions of s 25 </w:t>
      </w:r>
      <w:r w:rsidR="00210619" w:rsidRPr="00D27522">
        <w:rPr>
          <w:rFonts w:ascii="Book Antiqua" w:hAnsi="Book Antiqua"/>
          <w:sz w:val="22"/>
          <w:szCs w:val="22"/>
          <w:lang w:val="en-AU"/>
        </w:rPr>
        <w:t>rigorously</w:t>
      </w:r>
      <w:r w:rsidRPr="00D27522">
        <w:rPr>
          <w:rFonts w:ascii="Book Antiqua" w:hAnsi="Book Antiqua"/>
          <w:sz w:val="22"/>
          <w:szCs w:val="22"/>
          <w:lang w:val="en-AU"/>
        </w:rPr>
        <w:t xml:space="preserve"> to ensure that the overarching purpose of the Act is </w:t>
      </w:r>
      <w:r w:rsidR="00210619" w:rsidRPr="00D27522">
        <w:rPr>
          <w:rFonts w:ascii="Book Antiqua" w:hAnsi="Book Antiqua"/>
          <w:sz w:val="22"/>
          <w:szCs w:val="22"/>
          <w:lang w:val="en-AU"/>
        </w:rPr>
        <w:t>achieved</w:t>
      </w:r>
      <w:r w:rsidRPr="00D27522">
        <w:rPr>
          <w:rFonts w:ascii="Book Antiqua" w:hAnsi="Book Antiqua"/>
          <w:sz w:val="22"/>
          <w:szCs w:val="22"/>
          <w:lang w:val="en-AU"/>
        </w:rPr>
        <w:t>. Given the close rela</w:t>
      </w:r>
      <w:r w:rsidR="00342FFD" w:rsidRPr="00D27522">
        <w:rPr>
          <w:rFonts w:ascii="Book Antiqua" w:hAnsi="Book Antiqua"/>
          <w:sz w:val="22"/>
          <w:szCs w:val="22"/>
          <w:lang w:val="en-AU"/>
        </w:rPr>
        <w:t>tion that drawn-</w:t>
      </w:r>
      <w:r w:rsidR="00A93314" w:rsidRPr="00D27522">
        <w:rPr>
          <w:rFonts w:ascii="Book Antiqua" w:hAnsi="Book Antiqua"/>
          <w:sz w:val="22"/>
          <w:szCs w:val="22"/>
          <w:lang w:val="en-AU"/>
        </w:rPr>
        <w:t>out proceedings</w:t>
      </w:r>
      <w:r w:rsidRPr="00D27522">
        <w:rPr>
          <w:rFonts w:ascii="Book Antiqua" w:hAnsi="Book Antiqua"/>
          <w:sz w:val="22"/>
          <w:szCs w:val="22"/>
          <w:lang w:val="en-AU"/>
        </w:rPr>
        <w:t xml:space="preserve"> and excessive time wasting can have to the reasonableness of the c</w:t>
      </w:r>
      <w:r w:rsidR="00A93314" w:rsidRPr="00D27522">
        <w:rPr>
          <w:rFonts w:ascii="Book Antiqua" w:hAnsi="Book Antiqua"/>
          <w:sz w:val="22"/>
          <w:szCs w:val="22"/>
          <w:lang w:val="en-AU"/>
        </w:rPr>
        <w:t xml:space="preserve">osts that a party may incur, it </w:t>
      </w:r>
      <w:r w:rsidR="00210619" w:rsidRPr="00D27522">
        <w:rPr>
          <w:rFonts w:ascii="Book Antiqua" w:hAnsi="Book Antiqua"/>
          <w:sz w:val="22"/>
          <w:szCs w:val="22"/>
          <w:lang w:val="en-AU"/>
        </w:rPr>
        <w:t>is likely</w:t>
      </w:r>
      <w:r w:rsidR="00A93314" w:rsidRPr="00D27522">
        <w:rPr>
          <w:rFonts w:ascii="Book Antiqua" w:hAnsi="Book Antiqua"/>
          <w:sz w:val="22"/>
          <w:szCs w:val="22"/>
          <w:lang w:val="en-AU"/>
        </w:rPr>
        <w:t xml:space="preserve"> that these two sections of the Act will</w:t>
      </w:r>
      <w:r w:rsidR="00210619" w:rsidRPr="00D27522">
        <w:rPr>
          <w:rFonts w:ascii="Book Antiqua" w:hAnsi="Book Antiqua"/>
          <w:sz w:val="22"/>
          <w:szCs w:val="22"/>
          <w:lang w:val="en-AU"/>
        </w:rPr>
        <w:t>, in a sense, develop as different sides of the same coin</w:t>
      </w:r>
      <w:r w:rsidR="00A93314" w:rsidRPr="00D27522">
        <w:rPr>
          <w:rFonts w:ascii="Book Antiqua" w:hAnsi="Book Antiqua"/>
          <w:sz w:val="22"/>
          <w:szCs w:val="22"/>
          <w:lang w:val="en-AU"/>
        </w:rPr>
        <w:t xml:space="preserve">. Indeed, the experience of the Commercial Court has shown that focusing on the prompt resolution of disputes - as opposed to allowing parties and practitioners to meander along at their own pace with seemingly little </w:t>
      </w:r>
      <w:r w:rsidR="00210619" w:rsidRPr="00D27522">
        <w:rPr>
          <w:rFonts w:ascii="Book Antiqua" w:hAnsi="Book Antiqua"/>
          <w:sz w:val="22"/>
          <w:szCs w:val="22"/>
          <w:lang w:val="en-AU"/>
        </w:rPr>
        <w:t xml:space="preserve">desire </w:t>
      </w:r>
      <w:r w:rsidR="00A93314" w:rsidRPr="00D27522">
        <w:rPr>
          <w:rFonts w:ascii="Book Antiqua" w:hAnsi="Book Antiqua"/>
          <w:sz w:val="22"/>
          <w:szCs w:val="22"/>
          <w:lang w:val="en-AU"/>
        </w:rPr>
        <w:t>to reaching resolution – benefits all parties involved</w:t>
      </w:r>
      <w:r w:rsidR="00210619" w:rsidRPr="00D27522">
        <w:rPr>
          <w:rFonts w:ascii="Book Antiqua" w:hAnsi="Book Antiqua"/>
          <w:sz w:val="22"/>
          <w:szCs w:val="22"/>
          <w:lang w:val="en-AU"/>
        </w:rPr>
        <w:t>;</w:t>
      </w:r>
      <w:r w:rsidR="00A93314" w:rsidRPr="00D27522">
        <w:rPr>
          <w:rFonts w:ascii="Book Antiqua" w:hAnsi="Book Antiqua"/>
          <w:sz w:val="22"/>
          <w:szCs w:val="22"/>
          <w:lang w:val="en-AU"/>
        </w:rPr>
        <w:t xml:space="preserve"> including the Court and, by extension, the general public</w:t>
      </w:r>
      <w:r w:rsidR="00210619" w:rsidRPr="00D27522">
        <w:rPr>
          <w:rFonts w:ascii="Book Antiqua" w:hAnsi="Book Antiqua"/>
          <w:sz w:val="22"/>
          <w:szCs w:val="22"/>
          <w:lang w:val="en-AU"/>
        </w:rPr>
        <w:t xml:space="preserve"> who have an interest in an efficient litigation system as potential parties seeking access to the scarce resources of the system, and as taxpayers</w:t>
      </w:r>
      <w:r w:rsidR="00A93314" w:rsidRPr="00D27522">
        <w:rPr>
          <w:rFonts w:ascii="Book Antiqua" w:hAnsi="Book Antiqua"/>
          <w:sz w:val="22"/>
          <w:szCs w:val="22"/>
          <w:lang w:val="en-AU"/>
        </w:rPr>
        <w:t>.</w:t>
      </w:r>
      <w:r w:rsidR="00342FFD" w:rsidRPr="00D27522">
        <w:rPr>
          <w:rFonts w:ascii="Book Antiqua" w:hAnsi="Book Antiqua"/>
          <w:sz w:val="22"/>
          <w:szCs w:val="22"/>
          <w:lang w:val="en-AU"/>
        </w:rPr>
        <w:t xml:space="preserve"> Not only are the costs to the parties to the dispute minimised, but the considerable strain on public resources that over-litigated proceedings cause can similarly be minimised.</w:t>
      </w:r>
    </w:p>
    <w:p w:rsidR="00A47FF2" w:rsidRPr="00D27522" w:rsidRDefault="00A47FF2" w:rsidP="001C1BB0">
      <w:pPr>
        <w:spacing w:line="360" w:lineRule="auto"/>
        <w:jc w:val="both"/>
        <w:rPr>
          <w:rFonts w:ascii="Book Antiqua" w:hAnsi="Book Antiqua"/>
          <w:b/>
          <w:sz w:val="22"/>
          <w:szCs w:val="22"/>
          <w:lang w:val="en-AU"/>
        </w:rPr>
      </w:pPr>
    </w:p>
    <w:p w:rsidR="00A47FF2" w:rsidRPr="00D27522" w:rsidRDefault="00A47FF2" w:rsidP="001C1BB0">
      <w:pPr>
        <w:spacing w:line="360" w:lineRule="auto"/>
        <w:jc w:val="both"/>
        <w:rPr>
          <w:rFonts w:ascii="Book Antiqua" w:hAnsi="Book Antiqua"/>
          <w:sz w:val="22"/>
          <w:szCs w:val="22"/>
          <w:lang w:val="en-AU"/>
        </w:rPr>
      </w:pPr>
      <w:r w:rsidRPr="00D27522">
        <w:rPr>
          <w:rFonts w:ascii="Book Antiqua" w:hAnsi="Book Antiqua"/>
          <w:i/>
          <w:sz w:val="22"/>
          <w:szCs w:val="22"/>
          <w:lang w:val="en-AU"/>
        </w:rPr>
        <w:t>Kuek v Deflan</w:t>
      </w:r>
      <w:r w:rsidR="00311A2C" w:rsidRPr="00D27522">
        <w:rPr>
          <w:rStyle w:val="FootnoteReference"/>
          <w:rFonts w:ascii="Book Antiqua" w:hAnsi="Book Antiqua"/>
          <w:i/>
          <w:sz w:val="22"/>
          <w:szCs w:val="22"/>
          <w:lang w:val="en-AU"/>
        </w:rPr>
        <w:footnoteReference w:id="74"/>
      </w:r>
      <w:r w:rsidRPr="00D27522">
        <w:rPr>
          <w:rFonts w:ascii="Book Antiqua" w:hAnsi="Book Antiqua"/>
          <w:sz w:val="22"/>
          <w:szCs w:val="22"/>
          <w:lang w:val="en-AU"/>
        </w:rPr>
        <w:t xml:space="preserve"> dealt with an appeal from an order of an Associate Judge setting aside a Notice of Application to Review an Order of a Costs</w:t>
      </w:r>
      <w:r w:rsidR="00E401C7" w:rsidRPr="00D27522">
        <w:rPr>
          <w:rFonts w:ascii="Book Antiqua" w:hAnsi="Book Antiqua"/>
          <w:sz w:val="22"/>
          <w:szCs w:val="22"/>
          <w:lang w:val="en-AU"/>
        </w:rPr>
        <w:t xml:space="preserve"> Judge</w:t>
      </w:r>
      <w:r w:rsidRPr="00D27522">
        <w:rPr>
          <w:rFonts w:ascii="Book Antiqua" w:hAnsi="Book Antiqua"/>
          <w:sz w:val="22"/>
          <w:szCs w:val="22"/>
          <w:lang w:val="en-AU"/>
        </w:rPr>
        <w:t xml:space="preserve"> that the plaintiff - an experienced litigation solicitor and the principal of a law firm</w:t>
      </w:r>
      <w:r w:rsidRPr="00D27522">
        <w:rPr>
          <w:rStyle w:val="FootnoteReference"/>
          <w:rFonts w:ascii="Book Antiqua" w:hAnsi="Book Antiqua"/>
          <w:sz w:val="22"/>
          <w:szCs w:val="22"/>
          <w:lang w:val="en-AU"/>
        </w:rPr>
        <w:footnoteReference w:id="75"/>
      </w:r>
      <w:r w:rsidRPr="00D27522">
        <w:rPr>
          <w:rFonts w:ascii="Book Antiqua" w:hAnsi="Book Antiqua"/>
          <w:sz w:val="22"/>
          <w:szCs w:val="22"/>
          <w:lang w:val="en-AU"/>
        </w:rPr>
        <w:t xml:space="preserve"> </w:t>
      </w:r>
      <w:r w:rsidR="00F95BCE" w:rsidRPr="00D27522">
        <w:rPr>
          <w:rFonts w:ascii="Book Antiqua" w:hAnsi="Book Antiqua"/>
          <w:sz w:val="22"/>
          <w:szCs w:val="22"/>
          <w:lang w:val="en-AU"/>
        </w:rPr>
        <w:t>who was appealing a costs decision awarded against him</w:t>
      </w:r>
      <w:r w:rsidR="004129EE" w:rsidRPr="00D27522">
        <w:rPr>
          <w:rFonts w:ascii="Book Antiqua" w:hAnsi="Book Antiqua"/>
          <w:sz w:val="22"/>
          <w:szCs w:val="22"/>
          <w:lang w:val="en-AU"/>
        </w:rPr>
        <w:t xml:space="preserve"> </w:t>
      </w:r>
      <w:r w:rsidRPr="00D27522">
        <w:rPr>
          <w:rFonts w:ascii="Book Antiqua" w:hAnsi="Book Antiqua"/>
          <w:sz w:val="22"/>
          <w:szCs w:val="22"/>
          <w:lang w:val="en-AU"/>
        </w:rPr>
        <w:t>-</w:t>
      </w:r>
      <w:r w:rsidR="004129EE" w:rsidRPr="00D27522">
        <w:rPr>
          <w:rFonts w:ascii="Book Antiqua" w:hAnsi="Book Antiqua"/>
          <w:sz w:val="22"/>
          <w:szCs w:val="22"/>
          <w:lang w:val="en-AU"/>
        </w:rPr>
        <w:t xml:space="preserve"> </w:t>
      </w:r>
      <w:r w:rsidRPr="00D27522">
        <w:rPr>
          <w:rFonts w:ascii="Book Antiqua" w:hAnsi="Book Antiqua"/>
          <w:sz w:val="22"/>
          <w:szCs w:val="22"/>
          <w:lang w:val="en-AU"/>
        </w:rPr>
        <w:t>had filed, pursuant to the Supreme Court Rules, out of time.</w:t>
      </w:r>
      <w:r w:rsidR="00E401C7" w:rsidRPr="00D27522">
        <w:rPr>
          <w:rFonts w:ascii="Book Antiqua" w:hAnsi="Book Antiqua"/>
          <w:sz w:val="22"/>
          <w:szCs w:val="22"/>
          <w:lang w:val="en-AU"/>
        </w:rPr>
        <w:t xml:space="preserve"> The relevant rule provide</w:t>
      </w:r>
      <w:r w:rsidR="004129EE" w:rsidRPr="00D27522">
        <w:rPr>
          <w:rFonts w:ascii="Book Antiqua" w:hAnsi="Book Antiqua"/>
          <w:sz w:val="22"/>
          <w:szCs w:val="22"/>
          <w:lang w:val="en-AU"/>
        </w:rPr>
        <w:t>d</w:t>
      </w:r>
      <w:r w:rsidR="00E401C7" w:rsidRPr="00D27522">
        <w:rPr>
          <w:rFonts w:ascii="Book Antiqua" w:hAnsi="Book Antiqua"/>
          <w:sz w:val="22"/>
          <w:szCs w:val="22"/>
          <w:lang w:val="en-AU"/>
        </w:rPr>
        <w:t xml:space="preserve"> that a notice of this type must be filed and served within fourteen days of the making of the order. Here the order</w:t>
      </w:r>
      <w:r w:rsidR="002374D9" w:rsidRPr="00D27522">
        <w:rPr>
          <w:rFonts w:ascii="Book Antiqua" w:hAnsi="Book Antiqua"/>
          <w:sz w:val="22"/>
          <w:szCs w:val="22"/>
          <w:lang w:val="en-AU"/>
        </w:rPr>
        <w:t>s</w:t>
      </w:r>
      <w:r w:rsidR="00E401C7" w:rsidRPr="00D27522">
        <w:rPr>
          <w:rFonts w:ascii="Book Antiqua" w:hAnsi="Book Antiqua"/>
          <w:sz w:val="22"/>
          <w:szCs w:val="22"/>
          <w:lang w:val="en-AU"/>
        </w:rPr>
        <w:t xml:space="preserve"> w</w:t>
      </w:r>
      <w:r w:rsidR="002374D9" w:rsidRPr="00D27522">
        <w:rPr>
          <w:rFonts w:ascii="Book Antiqua" w:hAnsi="Book Antiqua"/>
          <w:sz w:val="22"/>
          <w:szCs w:val="22"/>
          <w:lang w:val="en-AU"/>
        </w:rPr>
        <w:t>ere</w:t>
      </w:r>
      <w:r w:rsidR="00E401C7" w:rsidRPr="00D27522">
        <w:rPr>
          <w:rFonts w:ascii="Book Antiqua" w:hAnsi="Book Antiqua"/>
          <w:sz w:val="22"/>
          <w:szCs w:val="22"/>
          <w:lang w:val="en-AU"/>
        </w:rPr>
        <w:t xml:space="preserve"> made</w:t>
      </w:r>
      <w:r w:rsidR="002374D9" w:rsidRPr="00D27522">
        <w:rPr>
          <w:rFonts w:ascii="Book Antiqua" w:hAnsi="Book Antiqua"/>
          <w:sz w:val="22"/>
          <w:szCs w:val="22"/>
          <w:lang w:val="en-AU"/>
        </w:rPr>
        <w:t xml:space="preserve"> on 29 September 2011, and an authenticated copy was </w:t>
      </w:r>
      <w:r w:rsidR="00736B38" w:rsidRPr="00D27522">
        <w:rPr>
          <w:rFonts w:ascii="Book Antiqua" w:hAnsi="Book Antiqua"/>
          <w:sz w:val="22"/>
          <w:szCs w:val="22"/>
          <w:lang w:val="en-AU"/>
        </w:rPr>
        <w:t xml:space="preserve">emailed </w:t>
      </w:r>
      <w:r w:rsidR="002374D9" w:rsidRPr="00D27522">
        <w:rPr>
          <w:rFonts w:ascii="Book Antiqua" w:hAnsi="Book Antiqua"/>
          <w:sz w:val="22"/>
          <w:szCs w:val="22"/>
          <w:lang w:val="en-AU"/>
        </w:rPr>
        <w:t>to the plaintiff that same day. The plaintiff’s affid</w:t>
      </w:r>
      <w:r w:rsidR="004129EE" w:rsidRPr="00D27522">
        <w:rPr>
          <w:rFonts w:ascii="Book Antiqua" w:hAnsi="Book Antiqua"/>
          <w:sz w:val="22"/>
          <w:szCs w:val="22"/>
          <w:lang w:val="en-AU"/>
        </w:rPr>
        <w:t>a</w:t>
      </w:r>
      <w:r w:rsidR="002374D9" w:rsidRPr="00D27522">
        <w:rPr>
          <w:rFonts w:ascii="Book Antiqua" w:hAnsi="Book Antiqua"/>
          <w:sz w:val="22"/>
          <w:szCs w:val="22"/>
          <w:lang w:val="en-AU"/>
        </w:rPr>
        <w:t xml:space="preserve">vit evidence stated that he received the orders by ordinary </w:t>
      </w:r>
      <w:r w:rsidR="004129EE" w:rsidRPr="00D27522">
        <w:rPr>
          <w:rFonts w:ascii="Book Antiqua" w:hAnsi="Book Antiqua"/>
          <w:sz w:val="22"/>
          <w:szCs w:val="22"/>
          <w:lang w:val="en-AU"/>
        </w:rPr>
        <w:t xml:space="preserve">post </w:t>
      </w:r>
      <w:r w:rsidR="002374D9" w:rsidRPr="00D27522">
        <w:rPr>
          <w:rFonts w:ascii="Book Antiqua" w:hAnsi="Book Antiqua"/>
          <w:sz w:val="22"/>
          <w:szCs w:val="22"/>
          <w:lang w:val="en-AU"/>
        </w:rPr>
        <w:t>on 3 October 2011, ma</w:t>
      </w:r>
      <w:r w:rsidR="00736B38" w:rsidRPr="00D27522">
        <w:rPr>
          <w:rFonts w:ascii="Book Antiqua" w:hAnsi="Book Antiqua"/>
          <w:sz w:val="22"/>
          <w:szCs w:val="22"/>
          <w:lang w:val="en-AU"/>
        </w:rPr>
        <w:t>king</w:t>
      </w:r>
      <w:r w:rsidR="002374D9" w:rsidRPr="00D27522">
        <w:rPr>
          <w:rFonts w:ascii="Book Antiqua" w:hAnsi="Book Antiqua"/>
          <w:sz w:val="22"/>
          <w:szCs w:val="22"/>
          <w:lang w:val="en-AU"/>
        </w:rPr>
        <w:t xml:space="preserve"> no mention of the email</w:t>
      </w:r>
      <w:r w:rsidR="00736B38" w:rsidRPr="00D27522">
        <w:rPr>
          <w:rFonts w:ascii="Book Antiqua" w:hAnsi="Book Antiqua"/>
          <w:sz w:val="22"/>
          <w:szCs w:val="22"/>
          <w:lang w:val="en-AU"/>
        </w:rPr>
        <w:t>ed orders in his affidavit</w:t>
      </w:r>
      <w:r w:rsidR="002374D9" w:rsidRPr="00D27522">
        <w:rPr>
          <w:rFonts w:ascii="Book Antiqua" w:hAnsi="Book Antiqua"/>
          <w:sz w:val="22"/>
          <w:szCs w:val="22"/>
          <w:lang w:val="en-AU"/>
        </w:rPr>
        <w:t>.</w:t>
      </w:r>
    </w:p>
    <w:p w:rsidR="002374D9" w:rsidRPr="00D27522" w:rsidRDefault="002374D9" w:rsidP="001C1BB0">
      <w:pPr>
        <w:spacing w:line="360" w:lineRule="auto"/>
        <w:jc w:val="both"/>
        <w:rPr>
          <w:rFonts w:ascii="Book Antiqua" w:hAnsi="Book Antiqua"/>
          <w:sz w:val="22"/>
          <w:szCs w:val="22"/>
          <w:lang w:val="en-AU"/>
        </w:rPr>
      </w:pPr>
    </w:p>
    <w:p w:rsidR="002374D9" w:rsidRPr="00D27522" w:rsidRDefault="00736B38"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T</w:t>
      </w:r>
      <w:r w:rsidR="002374D9" w:rsidRPr="00D27522">
        <w:rPr>
          <w:rFonts w:ascii="Book Antiqua" w:hAnsi="Book Antiqua"/>
          <w:sz w:val="22"/>
          <w:szCs w:val="22"/>
          <w:lang w:val="en-AU"/>
        </w:rPr>
        <w:t xml:space="preserve">he plaintiff </w:t>
      </w:r>
      <w:r w:rsidRPr="00D27522">
        <w:rPr>
          <w:rFonts w:ascii="Book Antiqua" w:hAnsi="Book Antiqua"/>
          <w:sz w:val="22"/>
          <w:szCs w:val="22"/>
          <w:lang w:val="en-AU"/>
        </w:rPr>
        <w:t>submitted</w:t>
      </w:r>
      <w:r w:rsidR="002374D9" w:rsidRPr="00D27522">
        <w:rPr>
          <w:rFonts w:ascii="Book Antiqua" w:hAnsi="Book Antiqua"/>
          <w:sz w:val="22"/>
          <w:szCs w:val="22"/>
          <w:lang w:val="en-AU"/>
        </w:rPr>
        <w:t xml:space="preserve"> that on 14 October 2011, </w:t>
      </w:r>
      <w:r w:rsidRPr="00D27522">
        <w:rPr>
          <w:rFonts w:ascii="Book Antiqua" w:hAnsi="Book Antiqua"/>
          <w:sz w:val="22"/>
          <w:szCs w:val="22"/>
          <w:lang w:val="en-AU"/>
        </w:rPr>
        <w:t xml:space="preserve">an unnamed person </w:t>
      </w:r>
      <w:r w:rsidR="002374D9" w:rsidRPr="00D27522">
        <w:rPr>
          <w:rFonts w:ascii="Book Antiqua" w:hAnsi="Book Antiqua"/>
          <w:sz w:val="22"/>
          <w:szCs w:val="22"/>
          <w:lang w:val="en-AU"/>
        </w:rPr>
        <w:t>from his office</w:t>
      </w:r>
      <w:r w:rsidRPr="00D27522">
        <w:rPr>
          <w:rFonts w:ascii="Book Antiqua" w:hAnsi="Book Antiqua"/>
          <w:sz w:val="22"/>
          <w:szCs w:val="22"/>
          <w:lang w:val="en-AU"/>
        </w:rPr>
        <w:t>, who was never identified</w:t>
      </w:r>
      <w:r w:rsidR="002374D9" w:rsidRPr="00D27522">
        <w:rPr>
          <w:rFonts w:ascii="Book Antiqua" w:hAnsi="Book Antiqua"/>
          <w:sz w:val="22"/>
          <w:szCs w:val="22"/>
          <w:lang w:val="en-AU"/>
        </w:rPr>
        <w:t xml:space="preserve"> posted three copies of the notice to</w:t>
      </w:r>
      <w:r w:rsidR="00311A2C" w:rsidRPr="00D27522">
        <w:rPr>
          <w:rFonts w:ascii="Book Antiqua" w:hAnsi="Book Antiqua"/>
          <w:sz w:val="22"/>
          <w:szCs w:val="22"/>
          <w:lang w:val="en-AU"/>
        </w:rPr>
        <w:t xml:space="preserve"> the P</w:t>
      </w:r>
      <w:r w:rsidR="002374D9" w:rsidRPr="00D27522">
        <w:rPr>
          <w:rFonts w:ascii="Book Antiqua" w:hAnsi="Book Antiqua"/>
          <w:sz w:val="22"/>
          <w:szCs w:val="22"/>
          <w:lang w:val="en-AU"/>
        </w:rPr>
        <w:t>rothonotary’s office, and that this was sufficient to meet the filing requi</w:t>
      </w:r>
      <w:r w:rsidR="00311A2C" w:rsidRPr="00D27522">
        <w:rPr>
          <w:rFonts w:ascii="Book Antiqua" w:hAnsi="Book Antiqua"/>
          <w:sz w:val="22"/>
          <w:szCs w:val="22"/>
          <w:lang w:val="en-AU"/>
        </w:rPr>
        <w:t xml:space="preserve">rements under the rules, although there was no record of these copies ever being received by the Prothonotary. </w:t>
      </w:r>
      <w:r w:rsidR="002374D9" w:rsidRPr="00D27522">
        <w:rPr>
          <w:rFonts w:ascii="Book Antiqua" w:hAnsi="Book Antiqua"/>
          <w:sz w:val="22"/>
          <w:szCs w:val="22"/>
          <w:lang w:val="en-AU"/>
        </w:rPr>
        <w:t xml:space="preserve"> No further action was taken by any party to the proceeding until the plaintiff wrote to the Prothonotary’s office on 14 February 2012, seeking clarification as to the status of the proceeding. Upon receiving no reply, the plaintiff waited until 16 March 2012 before following up this ea</w:t>
      </w:r>
      <w:r w:rsidR="00311A2C" w:rsidRPr="00D27522">
        <w:rPr>
          <w:rFonts w:ascii="Book Antiqua" w:hAnsi="Book Antiqua"/>
          <w:sz w:val="22"/>
          <w:szCs w:val="22"/>
          <w:lang w:val="en-AU"/>
        </w:rPr>
        <w:t>rlier enquiry with a phone call. The Court</w:t>
      </w:r>
      <w:r w:rsidRPr="00D27522">
        <w:rPr>
          <w:rFonts w:ascii="Book Antiqua" w:hAnsi="Book Antiqua"/>
          <w:sz w:val="22"/>
          <w:szCs w:val="22"/>
          <w:lang w:val="en-AU"/>
        </w:rPr>
        <w:t xml:space="preserve"> found</w:t>
      </w:r>
      <w:r w:rsidR="00311A2C" w:rsidRPr="00D27522">
        <w:rPr>
          <w:rFonts w:ascii="Book Antiqua" w:hAnsi="Book Antiqua"/>
          <w:sz w:val="22"/>
          <w:szCs w:val="22"/>
          <w:lang w:val="en-AU"/>
        </w:rPr>
        <w:t xml:space="preserve"> that</w:t>
      </w:r>
      <w:r w:rsidRPr="00D27522">
        <w:rPr>
          <w:rFonts w:ascii="Book Antiqua" w:hAnsi="Book Antiqua"/>
          <w:sz w:val="22"/>
          <w:szCs w:val="22"/>
          <w:lang w:val="en-AU"/>
        </w:rPr>
        <w:t xml:space="preserve"> – despite the plaintiff’s claim that the notices were mailed by ordinary post on 14 October 11</w:t>
      </w:r>
      <w:r w:rsidR="00311A2C" w:rsidRPr="00D27522">
        <w:rPr>
          <w:rFonts w:ascii="Book Antiqua" w:hAnsi="Book Antiqua"/>
          <w:sz w:val="22"/>
          <w:szCs w:val="22"/>
          <w:lang w:val="en-AU"/>
        </w:rPr>
        <w:t xml:space="preserve"> no filing of the </w:t>
      </w:r>
      <w:r w:rsidRPr="00D27522">
        <w:rPr>
          <w:rFonts w:ascii="Book Antiqua" w:hAnsi="Book Antiqua"/>
          <w:sz w:val="22"/>
          <w:szCs w:val="22"/>
          <w:lang w:val="en-AU"/>
        </w:rPr>
        <w:t>notice</w:t>
      </w:r>
      <w:r w:rsidR="00311A2C" w:rsidRPr="00D27522">
        <w:rPr>
          <w:rFonts w:ascii="Book Antiqua" w:hAnsi="Book Antiqua"/>
          <w:sz w:val="22"/>
          <w:szCs w:val="22"/>
          <w:lang w:val="en-AU"/>
        </w:rPr>
        <w:t xml:space="preserve"> w</w:t>
      </w:r>
      <w:r w:rsidRPr="00D27522">
        <w:rPr>
          <w:rFonts w:ascii="Book Antiqua" w:hAnsi="Book Antiqua"/>
          <w:sz w:val="22"/>
          <w:szCs w:val="22"/>
          <w:lang w:val="en-AU"/>
        </w:rPr>
        <w:t>as</w:t>
      </w:r>
      <w:r w:rsidR="002374D9" w:rsidRPr="00D27522">
        <w:rPr>
          <w:rFonts w:ascii="Book Antiqua" w:hAnsi="Book Antiqua"/>
          <w:sz w:val="22"/>
          <w:szCs w:val="22"/>
          <w:lang w:val="en-AU"/>
        </w:rPr>
        <w:t xml:space="preserve"> </w:t>
      </w:r>
      <w:r w:rsidRPr="00D27522">
        <w:rPr>
          <w:rFonts w:ascii="Book Antiqua" w:hAnsi="Book Antiqua"/>
          <w:sz w:val="22"/>
          <w:szCs w:val="22"/>
          <w:lang w:val="en-AU"/>
        </w:rPr>
        <w:t>effected until</w:t>
      </w:r>
      <w:r w:rsidR="002374D9" w:rsidRPr="00D27522">
        <w:rPr>
          <w:rFonts w:ascii="Book Antiqua" w:hAnsi="Book Antiqua"/>
          <w:sz w:val="22"/>
          <w:szCs w:val="22"/>
          <w:lang w:val="en-AU"/>
        </w:rPr>
        <w:t xml:space="preserve"> 20 March 2012</w:t>
      </w:r>
      <w:r w:rsidRPr="00D27522">
        <w:rPr>
          <w:rFonts w:ascii="Book Antiqua" w:hAnsi="Book Antiqua"/>
          <w:sz w:val="22"/>
          <w:szCs w:val="22"/>
          <w:lang w:val="en-AU"/>
        </w:rPr>
        <w:t>, when the Prothonotary eventually received the notices by post.</w:t>
      </w:r>
    </w:p>
    <w:p w:rsidR="002374D9" w:rsidRPr="00D27522" w:rsidRDefault="002374D9" w:rsidP="001C1BB0">
      <w:pPr>
        <w:spacing w:line="360" w:lineRule="auto"/>
        <w:jc w:val="both"/>
        <w:rPr>
          <w:rFonts w:ascii="Book Antiqua" w:hAnsi="Book Antiqua"/>
          <w:sz w:val="22"/>
          <w:szCs w:val="22"/>
          <w:lang w:val="en-AU"/>
        </w:rPr>
      </w:pPr>
    </w:p>
    <w:p w:rsidR="002374D9" w:rsidRPr="00D27522" w:rsidRDefault="007E2025"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D</w:t>
      </w:r>
      <w:r w:rsidR="002374D9" w:rsidRPr="00D27522">
        <w:rPr>
          <w:rFonts w:ascii="Book Antiqua" w:hAnsi="Book Antiqua"/>
          <w:sz w:val="22"/>
          <w:szCs w:val="22"/>
          <w:lang w:val="en-AU"/>
        </w:rPr>
        <w:t xml:space="preserve">ismissing the appeal, Kyrou J discussed the </w:t>
      </w:r>
      <w:r w:rsidR="00F95BCE" w:rsidRPr="00D27522">
        <w:rPr>
          <w:rFonts w:ascii="Book Antiqua" w:hAnsi="Book Antiqua"/>
          <w:sz w:val="22"/>
          <w:szCs w:val="22"/>
          <w:lang w:val="en-AU"/>
        </w:rPr>
        <w:t>fine line that sometimes operates in causing delay</w:t>
      </w:r>
      <w:r w:rsidR="002374D9" w:rsidRPr="00D27522">
        <w:rPr>
          <w:rFonts w:ascii="Book Antiqua" w:hAnsi="Book Antiqua"/>
          <w:sz w:val="22"/>
          <w:szCs w:val="22"/>
          <w:lang w:val="en-AU"/>
        </w:rPr>
        <w:t>. His Honour said:</w:t>
      </w:r>
      <w:r w:rsidR="00C7410D">
        <w:rPr>
          <w:rStyle w:val="FootnoteReference"/>
          <w:rFonts w:ascii="Book Antiqua" w:hAnsi="Book Antiqua"/>
          <w:sz w:val="22"/>
          <w:szCs w:val="22"/>
          <w:lang w:val="en-AU"/>
        </w:rPr>
        <w:footnoteReference w:id="76"/>
      </w:r>
    </w:p>
    <w:p w:rsidR="002374D9" w:rsidRPr="00D27522" w:rsidRDefault="002374D9" w:rsidP="001C1BB0">
      <w:pPr>
        <w:spacing w:line="360" w:lineRule="auto"/>
        <w:jc w:val="both"/>
        <w:rPr>
          <w:rFonts w:ascii="Book Antiqua" w:hAnsi="Book Antiqua"/>
          <w:sz w:val="22"/>
          <w:szCs w:val="22"/>
          <w:lang w:val="en-AU"/>
        </w:rPr>
      </w:pPr>
    </w:p>
    <w:p w:rsidR="002374D9" w:rsidRPr="00D27522" w:rsidRDefault="00F95BCE" w:rsidP="00262C86">
      <w:pPr>
        <w:ind w:left="1440" w:right="720"/>
        <w:jc w:val="both"/>
        <w:rPr>
          <w:rFonts w:ascii="Book Antiqua" w:hAnsi="Book Antiqua"/>
          <w:b/>
          <w:sz w:val="20"/>
          <w:szCs w:val="20"/>
          <w:lang w:val="en-AU"/>
        </w:rPr>
      </w:pPr>
      <w:r w:rsidRPr="00D27522">
        <w:rPr>
          <w:rFonts w:ascii="Book Antiqua" w:hAnsi="Book Antiqua"/>
          <w:sz w:val="20"/>
          <w:szCs w:val="20"/>
          <w:lang w:val="en-AU"/>
        </w:rPr>
        <w:t>“A party that purports to post a document to the Court for filing on the day after the document was required to be filed under the Rules does not act promptly and does not minimise delay.”</w:t>
      </w:r>
    </w:p>
    <w:p w:rsidR="00A47FF2" w:rsidRPr="00D27522" w:rsidRDefault="00A47FF2" w:rsidP="001C1BB0">
      <w:pPr>
        <w:spacing w:line="360" w:lineRule="auto"/>
        <w:jc w:val="both"/>
        <w:rPr>
          <w:rFonts w:ascii="Book Antiqua" w:hAnsi="Book Antiqua"/>
          <w:b/>
          <w:sz w:val="22"/>
          <w:szCs w:val="22"/>
          <w:lang w:val="en-AU"/>
        </w:rPr>
      </w:pPr>
    </w:p>
    <w:p w:rsidR="00311A2C" w:rsidRPr="00D27522" w:rsidRDefault="00311A2C"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 xml:space="preserve">During the course of the hearing, counsel for the plaintiff made a number of dismissive </w:t>
      </w:r>
      <w:r w:rsidR="00523777" w:rsidRPr="00D27522">
        <w:rPr>
          <w:rFonts w:ascii="Book Antiqua" w:hAnsi="Book Antiqua"/>
          <w:sz w:val="22"/>
          <w:szCs w:val="22"/>
          <w:lang w:val="en-AU"/>
        </w:rPr>
        <w:t xml:space="preserve">submissions </w:t>
      </w:r>
      <w:r w:rsidRPr="00D27522">
        <w:rPr>
          <w:rFonts w:ascii="Book Antiqua" w:hAnsi="Book Antiqua"/>
          <w:sz w:val="22"/>
          <w:szCs w:val="22"/>
          <w:lang w:val="en-AU"/>
        </w:rPr>
        <w:t xml:space="preserve">about the operation of the Act, </w:t>
      </w:r>
      <w:r w:rsidR="00523777" w:rsidRPr="00D27522">
        <w:rPr>
          <w:rFonts w:ascii="Book Antiqua" w:hAnsi="Book Antiqua"/>
          <w:sz w:val="22"/>
          <w:szCs w:val="22"/>
          <w:lang w:val="en-AU"/>
        </w:rPr>
        <w:t xml:space="preserve">contending </w:t>
      </w:r>
      <w:r w:rsidRPr="00D27522">
        <w:rPr>
          <w:rFonts w:ascii="Book Antiqua" w:hAnsi="Book Antiqua"/>
          <w:sz w:val="22"/>
          <w:szCs w:val="22"/>
          <w:lang w:val="en-AU"/>
        </w:rPr>
        <w:t xml:space="preserve">that it contains “generalities and rhetoric and that its fundamental intent…is that justice be done.” </w:t>
      </w:r>
      <w:r w:rsidR="00523777" w:rsidRPr="00D27522">
        <w:rPr>
          <w:rFonts w:ascii="Book Antiqua" w:hAnsi="Book Antiqua"/>
          <w:sz w:val="22"/>
          <w:szCs w:val="22"/>
          <w:lang w:val="en-AU"/>
        </w:rPr>
        <w:t>His</w:t>
      </w:r>
      <w:r w:rsidRPr="00D27522">
        <w:rPr>
          <w:rFonts w:ascii="Book Antiqua" w:hAnsi="Book Antiqua"/>
          <w:sz w:val="22"/>
          <w:szCs w:val="22"/>
          <w:lang w:val="en-AU"/>
        </w:rPr>
        <w:t xml:space="preserve"> Honour </w:t>
      </w:r>
      <w:r w:rsidR="00523777" w:rsidRPr="00D27522">
        <w:rPr>
          <w:rFonts w:ascii="Book Antiqua" w:hAnsi="Book Antiqua"/>
          <w:sz w:val="22"/>
          <w:szCs w:val="22"/>
          <w:lang w:val="en-AU"/>
        </w:rPr>
        <w:t xml:space="preserve">responded </w:t>
      </w:r>
      <w:r w:rsidRPr="00D27522">
        <w:rPr>
          <w:rFonts w:ascii="Book Antiqua" w:hAnsi="Book Antiqua"/>
          <w:sz w:val="22"/>
          <w:szCs w:val="22"/>
          <w:lang w:val="en-AU"/>
        </w:rPr>
        <w:t xml:space="preserve">in a manner that should be seen </w:t>
      </w:r>
      <w:r w:rsidR="00523777" w:rsidRPr="00D27522">
        <w:rPr>
          <w:rFonts w:ascii="Book Antiqua" w:hAnsi="Book Antiqua"/>
          <w:sz w:val="22"/>
          <w:szCs w:val="22"/>
          <w:lang w:val="en-AU"/>
        </w:rPr>
        <w:t>as a strong indication</w:t>
      </w:r>
      <w:r w:rsidR="00D11DBD">
        <w:rPr>
          <w:rFonts w:ascii="Book Antiqua" w:hAnsi="Book Antiqua"/>
          <w:sz w:val="22"/>
          <w:szCs w:val="22"/>
          <w:lang w:val="en-AU"/>
        </w:rPr>
        <w:t xml:space="preserve"> </w:t>
      </w:r>
      <w:r w:rsidRPr="00D27522">
        <w:rPr>
          <w:rFonts w:ascii="Book Antiqua" w:hAnsi="Book Antiqua"/>
          <w:sz w:val="22"/>
          <w:szCs w:val="22"/>
          <w:lang w:val="en-AU"/>
        </w:rPr>
        <w:t xml:space="preserve">to all practitioners </w:t>
      </w:r>
      <w:r w:rsidR="00523777" w:rsidRPr="00D27522">
        <w:rPr>
          <w:rFonts w:ascii="Book Antiqua" w:hAnsi="Book Antiqua"/>
          <w:sz w:val="22"/>
          <w:szCs w:val="22"/>
          <w:lang w:val="en-AU"/>
        </w:rPr>
        <w:t xml:space="preserve">of </w:t>
      </w:r>
      <w:r w:rsidRPr="00D27522">
        <w:rPr>
          <w:rFonts w:ascii="Book Antiqua" w:hAnsi="Book Antiqua"/>
          <w:sz w:val="22"/>
          <w:szCs w:val="22"/>
          <w:lang w:val="en-AU"/>
        </w:rPr>
        <w:t>how serious</w:t>
      </w:r>
      <w:r w:rsidR="00523777" w:rsidRPr="00D27522">
        <w:rPr>
          <w:rFonts w:ascii="Book Antiqua" w:hAnsi="Book Antiqua"/>
          <w:sz w:val="22"/>
          <w:szCs w:val="22"/>
          <w:lang w:val="en-AU"/>
        </w:rPr>
        <w:t>ly</w:t>
      </w:r>
      <w:r w:rsidRPr="00D27522">
        <w:rPr>
          <w:rFonts w:ascii="Book Antiqua" w:hAnsi="Book Antiqua"/>
          <w:sz w:val="22"/>
          <w:szCs w:val="22"/>
          <w:lang w:val="en-AU"/>
        </w:rPr>
        <w:t xml:space="preserve"> the </w:t>
      </w:r>
      <w:r w:rsidR="00523777" w:rsidRPr="00D27522">
        <w:rPr>
          <w:rFonts w:ascii="Book Antiqua" w:hAnsi="Book Antiqua"/>
          <w:sz w:val="22"/>
          <w:szCs w:val="22"/>
          <w:lang w:val="en-AU"/>
        </w:rPr>
        <w:t>C</w:t>
      </w:r>
      <w:r w:rsidRPr="00D27522">
        <w:rPr>
          <w:rFonts w:ascii="Book Antiqua" w:hAnsi="Book Antiqua"/>
          <w:sz w:val="22"/>
          <w:szCs w:val="22"/>
          <w:lang w:val="en-AU"/>
        </w:rPr>
        <w:t xml:space="preserve">ourt will look at any disregard that may be shown </w:t>
      </w:r>
      <w:r w:rsidR="00523777" w:rsidRPr="00D27522">
        <w:rPr>
          <w:rFonts w:ascii="Book Antiqua" w:hAnsi="Book Antiqua"/>
          <w:sz w:val="22"/>
          <w:szCs w:val="22"/>
          <w:lang w:val="en-AU"/>
        </w:rPr>
        <w:t xml:space="preserve">for </w:t>
      </w:r>
      <w:r w:rsidRPr="00D27522">
        <w:rPr>
          <w:rFonts w:ascii="Book Antiqua" w:hAnsi="Book Antiqua"/>
          <w:sz w:val="22"/>
          <w:szCs w:val="22"/>
          <w:lang w:val="en-AU"/>
        </w:rPr>
        <w:t xml:space="preserve">the obligations </w:t>
      </w:r>
      <w:r w:rsidR="00523777" w:rsidRPr="00D27522">
        <w:rPr>
          <w:rFonts w:ascii="Book Antiqua" w:hAnsi="Book Antiqua"/>
          <w:sz w:val="22"/>
          <w:szCs w:val="22"/>
          <w:lang w:val="en-AU"/>
        </w:rPr>
        <w:t>imposed</w:t>
      </w:r>
      <w:r w:rsidRPr="00D27522">
        <w:rPr>
          <w:rFonts w:ascii="Book Antiqua" w:hAnsi="Book Antiqua"/>
          <w:sz w:val="22"/>
          <w:szCs w:val="22"/>
          <w:lang w:val="en-AU"/>
        </w:rPr>
        <w:t xml:space="preserve"> the Act:</w:t>
      </w:r>
      <w:r w:rsidR="00D11DBD">
        <w:rPr>
          <w:rStyle w:val="FootnoteReference"/>
          <w:rFonts w:ascii="Book Antiqua" w:hAnsi="Book Antiqua"/>
          <w:sz w:val="22"/>
          <w:szCs w:val="22"/>
          <w:lang w:val="en-AU"/>
        </w:rPr>
        <w:footnoteReference w:id="77"/>
      </w:r>
    </w:p>
    <w:p w:rsidR="00311A2C" w:rsidRPr="00D27522" w:rsidRDefault="00311A2C" w:rsidP="001C1BB0">
      <w:pPr>
        <w:spacing w:line="360" w:lineRule="auto"/>
        <w:jc w:val="both"/>
        <w:rPr>
          <w:rFonts w:ascii="Book Antiqua" w:hAnsi="Book Antiqua"/>
          <w:sz w:val="22"/>
          <w:szCs w:val="22"/>
          <w:lang w:val="en-AU"/>
        </w:rPr>
      </w:pPr>
    </w:p>
    <w:p w:rsidR="00311A2C" w:rsidRPr="00D27522" w:rsidRDefault="00311A2C" w:rsidP="00E511AF">
      <w:pPr>
        <w:ind w:left="1440" w:right="720"/>
        <w:jc w:val="both"/>
        <w:rPr>
          <w:rFonts w:ascii="Book Antiqua" w:hAnsi="Book Antiqua"/>
          <w:sz w:val="20"/>
          <w:szCs w:val="20"/>
          <w:lang w:val="en-AU"/>
        </w:rPr>
      </w:pPr>
      <w:r w:rsidRPr="00D27522">
        <w:rPr>
          <w:rFonts w:ascii="Book Antiqua" w:hAnsi="Book Antiqua"/>
          <w:sz w:val="20"/>
          <w:szCs w:val="20"/>
          <w:lang w:val="en-AU"/>
        </w:rPr>
        <w:t>“78</w:t>
      </w:r>
      <w:r w:rsidRPr="00D27522">
        <w:rPr>
          <w:rFonts w:ascii="Book Antiqua" w:hAnsi="Book Antiqua"/>
          <w:sz w:val="20"/>
          <w:szCs w:val="20"/>
          <w:lang w:val="en-AU"/>
        </w:rPr>
        <w:tab/>
        <w:t>…The Act does not contain generalities and rhetoric. Nor does it deal with abstract concepts of justice. The Act imposes specific statutory obligations on the</w:t>
      </w:r>
      <w:r w:rsidR="00D11DBD">
        <w:rPr>
          <w:rFonts w:ascii="Book Antiqua" w:hAnsi="Book Antiqua"/>
          <w:sz w:val="20"/>
          <w:szCs w:val="20"/>
          <w:lang w:val="en-AU"/>
        </w:rPr>
        <w:t xml:space="preserve"> </w:t>
      </w:r>
      <w:r w:rsidRPr="00D27522">
        <w:rPr>
          <w:rFonts w:ascii="Book Antiqua" w:hAnsi="Book Antiqua"/>
          <w:sz w:val="20"/>
          <w:szCs w:val="20"/>
          <w:lang w:val="en-AU"/>
        </w:rPr>
        <w:t>Court, the parties to civil litigation, the lawyers acting in civil litigation and other persons involved in litigation such as expert witnesses. It seeks to ensure that civil litigation is conducted in a just efficient, timely and cost effective manner and it gi</w:t>
      </w:r>
      <w:r w:rsidR="00367BCC">
        <w:rPr>
          <w:rFonts w:ascii="Book Antiqua" w:hAnsi="Book Antiqua"/>
          <w:sz w:val="20"/>
          <w:szCs w:val="20"/>
          <w:lang w:val="en-AU"/>
        </w:rPr>
        <w:t>v</w:t>
      </w:r>
      <w:r w:rsidRPr="00D27522">
        <w:rPr>
          <w:rFonts w:ascii="Book Antiqua" w:hAnsi="Book Antiqua"/>
          <w:sz w:val="20"/>
          <w:szCs w:val="20"/>
          <w:lang w:val="en-AU"/>
        </w:rPr>
        <w:t>es the Court wide powers to make orders limiting the rights and remedies that are otherwise available to a party if that party breaches its obligations under the Act.</w:t>
      </w:r>
    </w:p>
    <w:p w:rsidR="00311A2C" w:rsidRPr="00D27522" w:rsidRDefault="00311A2C" w:rsidP="00E511AF">
      <w:pPr>
        <w:ind w:left="1440" w:right="720"/>
        <w:jc w:val="both"/>
        <w:rPr>
          <w:rFonts w:ascii="Book Antiqua" w:hAnsi="Book Antiqua"/>
          <w:sz w:val="20"/>
          <w:szCs w:val="20"/>
          <w:lang w:val="en-AU"/>
        </w:rPr>
      </w:pPr>
    </w:p>
    <w:p w:rsidR="00F95BCE" w:rsidRPr="00D27522" w:rsidRDefault="00311A2C" w:rsidP="00E511AF">
      <w:pPr>
        <w:ind w:left="1440" w:right="720"/>
        <w:jc w:val="both"/>
        <w:rPr>
          <w:rFonts w:ascii="Book Antiqua" w:hAnsi="Book Antiqua"/>
          <w:sz w:val="20"/>
          <w:szCs w:val="20"/>
          <w:lang w:val="en-AU"/>
        </w:rPr>
      </w:pPr>
      <w:r w:rsidRPr="00D27522">
        <w:rPr>
          <w:rFonts w:ascii="Book Antiqua" w:hAnsi="Book Antiqua"/>
          <w:sz w:val="20"/>
          <w:szCs w:val="20"/>
          <w:lang w:val="en-AU"/>
        </w:rPr>
        <w:t>79</w:t>
      </w:r>
      <w:r w:rsidRPr="00D27522">
        <w:rPr>
          <w:rFonts w:ascii="Book Antiqua" w:hAnsi="Book Antiqua"/>
          <w:sz w:val="20"/>
          <w:szCs w:val="20"/>
          <w:lang w:val="en-AU"/>
        </w:rPr>
        <w:tab/>
        <w:t xml:space="preserve">The Act must be taken seriously by litigants and their lawyers. In an appropriate case, the Court is entitled to – and will – say a party seeking to enforce its rights in a manner that is antithetical to the overarching purpose and to that party’s overarching obligations that ‘enough is enough’, and will act to curtail those rights in the interests of the administration of justice. </w:t>
      </w:r>
    </w:p>
    <w:p w:rsidR="00523777" w:rsidRPr="00D27522" w:rsidRDefault="00523777" w:rsidP="001C1BB0">
      <w:pPr>
        <w:spacing w:line="360" w:lineRule="auto"/>
        <w:jc w:val="both"/>
        <w:rPr>
          <w:rFonts w:ascii="Book Antiqua" w:hAnsi="Book Antiqua"/>
          <w:b/>
          <w:sz w:val="22"/>
          <w:szCs w:val="22"/>
          <w:lang w:val="en-AU"/>
        </w:rPr>
      </w:pPr>
    </w:p>
    <w:p w:rsidR="00772F7E" w:rsidRPr="00D27522" w:rsidRDefault="0009791E" w:rsidP="001C1BB0">
      <w:pPr>
        <w:spacing w:line="360" w:lineRule="auto"/>
        <w:jc w:val="both"/>
        <w:rPr>
          <w:rFonts w:ascii="Book Antiqua" w:hAnsi="Book Antiqua"/>
          <w:sz w:val="22"/>
          <w:szCs w:val="22"/>
          <w:lang w:val="en-AU"/>
        </w:rPr>
      </w:pPr>
      <w:r w:rsidRPr="00D27522">
        <w:rPr>
          <w:rFonts w:ascii="Book Antiqua" w:hAnsi="Book Antiqua"/>
          <w:sz w:val="22"/>
          <w:szCs w:val="22"/>
          <w:lang w:val="en-AU"/>
        </w:rPr>
        <w:t>The Court found that the plaintiff’s conduct constitute</w:t>
      </w:r>
      <w:r w:rsidR="009A1859">
        <w:rPr>
          <w:rFonts w:ascii="Book Antiqua" w:hAnsi="Book Antiqua"/>
          <w:sz w:val="22"/>
          <w:szCs w:val="22"/>
          <w:lang w:val="en-AU"/>
        </w:rPr>
        <w:t>d</w:t>
      </w:r>
      <w:r w:rsidRPr="00D27522">
        <w:rPr>
          <w:rFonts w:ascii="Book Antiqua" w:hAnsi="Book Antiqua"/>
          <w:sz w:val="22"/>
          <w:szCs w:val="22"/>
          <w:lang w:val="en-AU"/>
        </w:rPr>
        <w:t xml:space="preserve"> a breach of s 25 of the Act and that, given this, it was then appropriate to take that breach into account in deciding whether t</w:t>
      </w:r>
      <w:r w:rsidR="006B0913" w:rsidRPr="00D27522">
        <w:rPr>
          <w:rFonts w:ascii="Book Antiqua" w:hAnsi="Book Antiqua"/>
          <w:sz w:val="22"/>
          <w:szCs w:val="22"/>
          <w:lang w:val="en-AU"/>
        </w:rPr>
        <w:t>o grant the plaintiff an extens</w:t>
      </w:r>
      <w:r w:rsidRPr="00D27522">
        <w:rPr>
          <w:rFonts w:ascii="Book Antiqua" w:hAnsi="Book Antiqua"/>
          <w:sz w:val="22"/>
          <w:szCs w:val="22"/>
          <w:lang w:val="en-AU"/>
        </w:rPr>
        <w:t xml:space="preserve">ion. Due to this breach of s 25, no extension was granted and the appeal was dismissed. </w:t>
      </w:r>
      <w:r w:rsidR="00523777" w:rsidRPr="00D27522">
        <w:rPr>
          <w:rFonts w:ascii="Book Antiqua" w:hAnsi="Book Antiqua"/>
          <w:sz w:val="22"/>
          <w:szCs w:val="22"/>
          <w:lang w:val="en-AU"/>
        </w:rPr>
        <w:t>Clearly, the Court will hold both practitioners and parties responsible for any delays they cause to the just, efficient, timely and cost-effective resolution of proceedings – and the consequences of their delay may sound in serious sanctions.</w:t>
      </w:r>
      <w:r w:rsidR="00A93314" w:rsidRPr="00D27522">
        <w:rPr>
          <w:rFonts w:ascii="Book Antiqua" w:hAnsi="Book Antiqua"/>
          <w:sz w:val="22"/>
          <w:szCs w:val="22"/>
          <w:lang w:val="en-AU"/>
        </w:rPr>
        <w:t xml:space="preserve"> </w:t>
      </w:r>
    </w:p>
    <w:p w:rsidR="00B40B93" w:rsidRPr="00D27522" w:rsidRDefault="00B40B93" w:rsidP="005213F9">
      <w:pPr>
        <w:spacing w:line="360" w:lineRule="auto"/>
        <w:jc w:val="both"/>
        <w:rPr>
          <w:rFonts w:ascii="Book Antiqua" w:hAnsi="Book Antiqua"/>
          <w:b/>
          <w:sz w:val="22"/>
          <w:szCs w:val="22"/>
          <w:u w:val="single"/>
          <w:lang w:val="en-AU"/>
        </w:rPr>
      </w:pPr>
    </w:p>
    <w:p w:rsidR="005213F9" w:rsidRPr="00D11DBD" w:rsidRDefault="005213F9" w:rsidP="005213F9">
      <w:pPr>
        <w:spacing w:line="360" w:lineRule="auto"/>
        <w:jc w:val="both"/>
        <w:rPr>
          <w:rFonts w:ascii="Book Antiqua" w:hAnsi="Book Antiqua"/>
          <w:b/>
          <w:u w:val="single"/>
          <w:lang w:val="en-AU"/>
        </w:rPr>
      </w:pPr>
      <w:r w:rsidRPr="00D11DBD">
        <w:rPr>
          <w:rFonts w:ascii="Book Antiqua" w:hAnsi="Book Antiqua"/>
          <w:b/>
          <w:u w:val="single"/>
          <w:lang w:val="en-AU"/>
        </w:rPr>
        <w:t>Amendments to the Act</w:t>
      </w:r>
    </w:p>
    <w:p w:rsidR="00FD76F6" w:rsidRPr="00D27522" w:rsidRDefault="00FD76F6" w:rsidP="005213F9">
      <w:pPr>
        <w:spacing w:line="360" w:lineRule="auto"/>
        <w:jc w:val="both"/>
        <w:rPr>
          <w:rFonts w:ascii="Book Antiqua" w:hAnsi="Book Antiqua"/>
          <w:b/>
          <w:sz w:val="22"/>
          <w:szCs w:val="22"/>
          <w:u w:val="single"/>
          <w:lang w:val="en-AU"/>
        </w:rPr>
      </w:pPr>
    </w:p>
    <w:p w:rsidR="005213F9" w:rsidRPr="00D27522" w:rsidRDefault="00FD76F6" w:rsidP="005213F9">
      <w:pPr>
        <w:spacing w:line="360" w:lineRule="auto"/>
        <w:jc w:val="both"/>
        <w:rPr>
          <w:rFonts w:ascii="Book Antiqua" w:hAnsi="Book Antiqua"/>
          <w:sz w:val="22"/>
          <w:szCs w:val="22"/>
          <w:lang w:val="en-AU"/>
        </w:rPr>
      </w:pPr>
      <w:r w:rsidRPr="00D27522">
        <w:rPr>
          <w:rFonts w:ascii="Book Antiqua" w:hAnsi="Book Antiqua"/>
          <w:sz w:val="22"/>
          <w:szCs w:val="22"/>
          <w:lang w:val="en-AU"/>
        </w:rPr>
        <w:t xml:space="preserve">The </w:t>
      </w:r>
      <w:r w:rsidRPr="00D11DBD">
        <w:rPr>
          <w:rFonts w:ascii="Book Antiqua" w:hAnsi="Book Antiqua"/>
          <w:i/>
          <w:sz w:val="22"/>
          <w:szCs w:val="22"/>
          <w:lang w:val="en-AU"/>
        </w:rPr>
        <w:t>Civil Procedure Amendment Act</w:t>
      </w:r>
      <w:r w:rsidRPr="00D27522">
        <w:rPr>
          <w:rFonts w:ascii="Book Antiqua" w:hAnsi="Book Antiqua"/>
          <w:sz w:val="22"/>
          <w:szCs w:val="22"/>
          <w:lang w:val="en-AU"/>
        </w:rPr>
        <w:t xml:space="preserve"> 2012 has served to strengthen further the already broad </w:t>
      </w:r>
      <w:r w:rsidR="0009791E" w:rsidRPr="00D27522">
        <w:rPr>
          <w:rFonts w:ascii="Book Antiqua" w:hAnsi="Book Antiqua"/>
          <w:sz w:val="22"/>
          <w:szCs w:val="22"/>
          <w:lang w:val="en-AU"/>
        </w:rPr>
        <w:t>empowering pro</w:t>
      </w:r>
      <w:r w:rsidR="00C103F3" w:rsidRPr="00D27522">
        <w:rPr>
          <w:rFonts w:ascii="Book Antiqua" w:hAnsi="Book Antiqua"/>
          <w:sz w:val="22"/>
          <w:szCs w:val="22"/>
          <w:lang w:val="en-AU"/>
        </w:rPr>
        <w:t>vision</w:t>
      </w:r>
      <w:r w:rsidRPr="00D27522">
        <w:rPr>
          <w:rFonts w:ascii="Book Antiqua" w:hAnsi="Book Antiqua"/>
          <w:sz w:val="22"/>
          <w:szCs w:val="22"/>
          <w:lang w:val="en-AU"/>
        </w:rPr>
        <w:t xml:space="preserve"> under the 2010 Act.</w:t>
      </w:r>
      <w:r w:rsidR="00C103F3" w:rsidRPr="00D27522">
        <w:rPr>
          <w:rFonts w:ascii="Book Antiqua" w:hAnsi="Book Antiqua"/>
          <w:sz w:val="22"/>
          <w:szCs w:val="22"/>
          <w:lang w:val="en-AU"/>
        </w:rPr>
        <w:t xml:space="preserve"> </w:t>
      </w:r>
      <w:r w:rsidR="005213F9" w:rsidRPr="00D27522">
        <w:rPr>
          <w:rFonts w:ascii="Book Antiqua" w:hAnsi="Book Antiqua"/>
          <w:sz w:val="22"/>
          <w:szCs w:val="22"/>
          <w:lang w:val="en-AU"/>
        </w:rPr>
        <w:t xml:space="preserve">The explanatory memorandum </w:t>
      </w:r>
      <w:r w:rsidR="00C103F3" w:rsidRPr="00D27522">
        <w:rPr>
          <w:rFonts w:ascii="Book Antiqua" w:hAnsi="Book Antiqua"/>
          <w:sz w:val="22"/>
          <w:szCs w:val="22"/>
          <w:lang w:val="en-AU"/>
        </w:rPr>
        <w:t xml:space="preserve">for </w:t>
      </w:r>
      <w:r w:rsidR="005213F9" w:rsidRPr="00D27522">
        <w:rPr>
          <w:rFonts w:ascii="Book Antiqua" w:hAnsi="Book Antiqua"/>
          <w:sz w:val="22"/>
          <w:szCs w:val="22"/>
          <w:lang w:val="en-AU"/>
        </w:rPr>
        <w:t>the </w:t>
      </w:r>
      <w:r w:rsidR="005213F9" w:rsidRPr="00D27522">
        <w:rPr>
          <w:rFonts w:ascii="Book Antiqua" w:hAnsi="Book Antiqua"/>
          <w:i/>
          <w:iCs/>
          <w:sz w:val="22"/>
          <w:szCs w:val="22"/>
          <w:lang w:val="en-AU"/>
        </w:rPr>
        <w:t>Civil Procedure Amendment Bill </w:t>
      </w:r>
      <w:r w:rsidR="005213F9" w:rsidRPr="00D27522">
        <w:rPr>
          <w:rFonts w:ascii="Book Antiqua" w:hAnsi="Book Antiqua"/>
          <w:sz w:val="22"/>
          <w:szCs w:val="22"/>
          <w:lang w:val="en-AU"/>
        </w:rPr>
        <w:t xml:space="preserve">2012 notes that </w:t>
      </w:r>
      <w:r w:rsidRPr="00D27522">
        <w:rPr>
          <w:rFonts w:ascii="Book Antiqua" w:hAnsi="Book Antiqua"/>
          <w:sz w:val="22"/>
          <w:szCs w:val="22"/>
          <w:lang w:val="en-AU"/>
        </w:rPr>
        <w:t xml:space="preserve">the reason behind its introduction has been </w:t>
      </w:r>
      <w:r w:rsidR="005213F9" w:rsidRPr="00D27522">
        <w:rPr>
          <w:rFonts w:ascii="Book Antiqua" w:hAnsi="Book Antiqua"/>
          <w:sz w:val="22"/>
          <w:szCs w:val="22"/>
          <w:lang w:val="en-AU"/>
        </w:rPr>
        <w:t xml:space="preserve">to give additional powers and discretions for the </w:t>
      </w:r>
      <w:r w:rsidRPr="00D27522">
        <w:rPr>
          <w:rFonts w:ascii="Book Antiqua" w:hAnsi="Book Antiqua"/>
          <w:sz w:val="22"/>
          <w:szCs w:val="22"/>
          <w:lang w:val="en-AU"/>
        </w:rPr>
        <w:t>c</w:t>
      </w:r>
      <w:r w:rsidR="005213F9" w:rsidRPr="00D27522">
        <w:rPr>
          <w:rFonts w:ascii="Book Antiqua" w:hAnsi="Book Antiqua"/>
          <w:sz w:val="22"/>
          <w:szCs w:val="22"/>
          <w:lang w:val="en-AU"/>
        </w:rPr>
        <w:t>ourts in relation to costs disclosure and expert evidence:</w:t>
      </w:r>
      <w:r w:rsidR="00D11DBD">
        <w:rPr>
          <w:rStyle w:val="FootnoteReference"/>
          <w:rFonts w:ascii="Book Antiqua" w:hAnsi="Book Antiqua"/>
          <w:sz w:val="22"/>
          <w:szCs w:val="22"/>
          <w:lang w:val="en-AU"/>
        </w:rPr>
        <w:footnoteReference w:id="78"/>
      </w:r>
    </w:p>
    <w:p w:rsidR="005213F9" w:rsidRPr="00D27522" w:rsidRDefault="005213F9" w:rsidP="005213F9">
      <w:pPr>
        <w:spacing w:line="360" w:lineRule="auto"/>
        <w:jc w:val="both"/>
        <w:rPr>
          <w:rFonts w:ascii="Book Antiqua" w:hAnsi="Book Antiqua"/>
          <w:sz w:val="22"/>
          <w:szCs w:val="22"/>
          <w:lang w:val="en-AU"/>
        </w:rPr>
      </w:pPr>
    </w:p>
    <w:p w:rsidR="00C103F3" w:rsidRPr="00D27522" w:rsidRDefault="00262C86" w:rsidP="00E511AF">
      <w:pPr>
        <w:ind w:left="1440" w:right="720"/>
        <w:jc w:val="both"/>
        <w:rPr>
          <w:rFonts w:ascii="Book Antiqua" w:hAnsi="Book Antiqua"/>
          <w:iCs/>
          <w:sz w:val="20"/>
          <w:szCs w:val="20"/>
          <w:lang w:val="en-AU"/>
        </w:rPr>
      </w:pPr>
      <w:r w:rsidRPr="00D27522">
        <w:rPr>
          <w:rFonts w:ascii="Book Antiqua" w:hAnsi="Book Antiqua"/>
          <w:iCs/>
          <w:sz w:val="20"/>
          <w:szCs w:val="20"/>
          <w:lang w:val="en-AU"/>
        </w:rPr>
        <w:t>“</w:t>
      </w:r>
      <w:r w:rsidR="005213F9" w:rsidRPr="00D27522">
        <w:rPr>
          <w:rFonts w:ascii="Book Antiqua" w:hAnsi="Book Antiqua"/>
          <w:iCs/>
          <w:sz w:val="20"/>
          <w:szCs w:val="20"/>
          <w:lang w:val="en-AU"/>
        </w:rPr>
        <w:t>The Civil Procedure Amendment Bill 2012 amends the Civil Procedure Act 2010 to introduce specific powers and discretions for the courts in relation to costs and expert evidence, to amend and create greater flexibility in the overarching obligations and proper basis certification requirements and to mak</w:t>
      </w:r>
      <w:r w:rsidR="003875F1">
        <w:rPr>
          <w:rFonts w:ascii="Book Antiqua" w:hAnsi="Book Antiqua"/>
          <w:iCs/>
          <w:sz w:val="20"/>
          <w:szCs w:val="20"/>
          <w:lang w:val="en-AU"/>
        </w:rPr>
        <w:t xml:space="preserve">e </w:t>
      </w:r>
      <w:r w:rsidR="005213F9" w:rsidRPr="00D27522">
        <w:rPr>
          <w:rFonts w:ascii="Book Antiqua" w:hAnsi="Book Antiqua"/>
          <w:iCs/>
          <w:sz w:val="20"/>
          <w:szCs w:val="20"/>
          <w:lang w:val="en-AU"/>
        </w:rPr>
        <w:t>other technical amendments.</w:t>
      </w:r>
    </w:p>
    <w:p w:rsidR="005213F9" w:rsidRPr="00D27522" w:rsidRDefault="005213F9" w:rsidP="00E511AF">
      <w:pPr>
        <w:ind w:left="1440" w:right="720"/>
        <w:jc w:val="both"/>
        <w:rPr>
          <w:rFonts w:ascii="Book Antiqua" w:hAnsi="Book Antiqua"/>
          <w:iCs/>
          <w:sz w:val="20"/>
          <w:szCs w:val="20"/>
          <w:lang w:val="en-AU"/>
        </w:rPr>
      </w:pPr>
      <w:r w:rsidRPr="00D27522">
        <w:rPr>
          <w:rFonts w:ascii="Book Antiqua" w:hAnsi="Book Antiqua"/>
          <w:iCs/>
          <w:sz w:val="20"/>
          <w:szCs w:val="20"/>
          <w:lang w:val="en-AU"/>
        </w:rPr>
        <w:br/>
        <w:t>The Bill aims to reduce costs and delays for persons involved in civil litigation in Victoria, and improve the effectiveness of the civil justice system. The Bill builds on the foundation established by the Civil Procedure Act 2010 in seeking to give judges and magistrates a clear legislative mandate to proactively manage cases in a manner that will promote the just, efficient, timely and cost-effective resolution of the real issues in dispute in a civil proceeding.</w:t>
      </w:r>
      <w:r w:rsidR="00262C86" w:rsidRPr="00D27522">
        <w:rPr>
          <w:rFonts w:ascii="Book Antiqua" w:hAnsi="Book Antiqua"/>
          <w:iCs/>
          <w:sz w:val="20"/>
          <w:szCs w:val="20"/>
          <w:lang w:val="en-AU"/>
        </w:rPr>
        <w:t>”</w:t>
      </w:r>
    </w:p>
    <w:p w:rsidR="005213F9" w:rsidRPr="00D27522" w:rsidRDefault="005213F9" w:rsidP="005213F9">
      <w:pPr>
        <w:spacing w:line="360" w:lineRule="auto"/>
        <w:jc w:val="both"/>
        <w:rPr>
          <w:rFonts w:ascii="Book Antiqua" w:hAnsi="Book Antiqua"/>
          <w:sz w:val="22"/>
          <w:szCs w:val="22"/>
          <w:lang w:val="en-AU"/>
        </w:rPr>
      </w:pPr>
    </w:p>
    <w:p w:rsidR="005213F9" w:rsidRPr="00D27522" w:rsidRDefault="005213F9" w:rsidP="005213F9">
      <w:pPr>
        <w:spacing w:line="360" w:lineRule="auto"/>
        <w:jc w:val="both"/>
        <w:rPr>
          <w:rFonts w:ascii="Book Antiqua" w:hAnsi="Book Antiqua"/>
          <w:sz w:val="22"/>
          <w:szCs w:val="22"/>
          <w:lang w:val="en-AU"/>
        </w:rPr>
      </w:pPr>
      <w:r w:rsidRPr="00D27522">
        <w:rPr>
          <w:rFonts w:ascii="Book Antiqua" w:hAnsi="Book Antiqua"/>
          <w:sz w:val="22"/>
          <w:szCs w:val="22"/>
          <w:lang w:val="en-AU"/>
        </w:rPr>
        <w:t>Part 2 of the </w:t>
      </w:r>
      <w:r w:rsidRPr="00D27522">
        <w:rPr>
          <w:rFonts w:ascii="Book Antiqua" w:hAnsi="Book Antiqua"/>
          <w:i/>
          <w:iCs/>
          <w:sz w:val="22"/>
          <w:szCs w:val="22"/>
          <w:lang w:val="en-AU"/>
        </w:rPr>
        <w:t xml:space="preserve">Civil Procedure Amendment </w:t>
      </w:r>
      <w:r w:rsidR="00C103F3" w:rsidRPr="00D27522">
        <w:rPr>
          <w:rFonts w:ascii="Book Antiqua" w:hAnsi="Book Antiqua"/>
          <w:i/>
          <w:iCs/>
          <w:sz w:val="22"/>
          <w:szCs w:val="22"/>
          <w:lang w:val="en-AU"/>
        </w:rPr>
        <w:t>Act </w:t>
      </w:r>
      <w:r w:rsidRPr="00D27522">
        <w:rPr>
          <w:rFonts w:ascii="Book Antiqua" w:hAnsi="Book Antiqua"/>
          <w:sz w:val="22"/>
          <w:szCs w:val="22"/>
          <w:lang w:val="en-AU"/>
        </w:rPr>
        <w:t xml:space="preserve">2012 gives the Court power to require costs disclosure to a lawyer's own client, and expands the type of costs orders which </w:t>
      </w:r>
      <w:r w:rsidR="00C103F3" w:rsidRPr="00D27522">
        <w:rPr>
          <w:rFonts w:ascii="Book Antiqua" w:hAnsi="Book Antiqua"/>
          <w:sz w:val="22"/>
          <w:szCs w:val="22"/>
          <w:lang w:val="en-AU"/>
        </w:rPr>
        <w:t xml:space="preserve">courts </w:t>
      </w:r>
      <w:r w:rsidRPr="00D27522">
        <w:rPr>
          <w:rFonts w:ascii="Book Antiqua" w:hAnsi="Book Antiqua"/>
          <w:sz w:val="22"/>
          <w:szCs w:val="22"/>
          <w:lang w:val="en-AU"/>
        </w:rPr>
        <w:t xml:space="preserve">are able to be </w:t>
      </w:r>
      <w:r w:rsidR="00C103F3" w:rsidRPr="00D27522">
        <w:rPr>
          <w:rFonts w:ascii="Book Antiqua" w:hAnsi="Book Antiqua"/>
          <w:sz w:val="22"/>
          <w:szCs w:val="22"/>
          <w:lang w:val="en-AU"/>
        </w:rPr>
        <w:t>make</w:t>
      </w:r>
      <w:r w:rsidRPr="00D27522">
        <w:rPr>
          <w:rFonts w:ascii="Book Antiqua" w:hAnsi="Book Antiqua"/>
          <w:sz w:val="22"/>
          <w:szCs w:val="22"/>
          <w:lang w:val="en-AU"/>
        </w:rPr>
        <w:t>:</w:t>
      </w:r>
      <w:r w:rsidR="00D11DBD">
        <w:rPr>
          <w:rStyle w:val="FootnoteReference"/>
          <w:rFonts w:ascii="Book Antiqua" w:hAnsi="Book Antiqua"/>
          <w:sz w:val="22"/>
          <w:szCs w:val="22"/>
          <w:lang w:val="en-AU"/>
        </w:rPr>
        <w:footnoteReference w:id="79"/>
      </w:r>
      <w:r w:rsidRPr="00D27522">
        <w:rPr>
          <w:rFonts w:ascii="Book Antiqua" w:hAnsi="Book Antiqua"/>
          <w:sz w:val="22"/>
          <w:szCs w:val="22"/>
          <w:lang w:val="en-AU"/>
        </w:rPr>
        <w:t xml:space="preserve"> </w:t>
      </w:r>
    </w:p>
    <w:p w:rsidR="005213F9" w:rsidRPr="00D27522" w:rsidRDefault="005213F9" w:rsidP="005213F9">
      <w:pPr>
        <w:spacing w:line="360" w:lineRule="auto"/>
        <w:jc w:val="both"/>
        <w:rPr>
          <w:rFonts w:ascii="Book Antiqua" w:hAnsi="Book Antiqua"/>
          <w:i/>
          <w:iCs/>
          <w:sz w:val="22"/>
          <w:szCs w:val="22"/>
          <w:lang w:val="en-AU"/>
        </w:rPr>
      </w:pPr>
    </w:p>
    <w:p w:rsidR="005213F9" w:rsidRPr="00D27522" w:rsidRDefault="00262C86" w:rsidP="00E511AF">
      <w:pPr>
        <w:ind w:left="1440" w:right="720"/>
        <w:jc w:val="both"/>
        <w:rPr>
          <w:rFonts w:ascii="Book Antiqua" w:hAnsi="Book Antiqua"/>
          <w:iCs/>
          <w:sz w:val="20"/>
          <w:szCs w:val="20"/>
          <w:lang w:val="en-AU"/>
        </w:rPr>
      </w:pPr>
      <w:r w:rsidRPr="00D27522">
        <w:rPr>
          <w:rFonts w:ascii="Book Antiqua" w:hAnsi="Book Antiqua"/>
          <w:iCs/>
          <w:sz w:val="20"/>
          <w:szCs w:val="20"/>
          <w:lang w:val="en-AU"/>
        </w:rPr>
        <w:t>“</w:t>
      </w:r>
      <w:r w:rsidR="005213F9" w:rsidRPr="00D27522">
        <w:rPr>
          <w:rFonts w:ascii="Book Antiqua" w:hAnsi="Book Antiqua"/>
          <w:iCs/>
          <w:sz w:val="20"/>
          <w:szCs w:val="20"/>
          <w:lang w:val="en-AU"/>
        </w:rPr>
        <w:t>Disclosure of litigation costs by a lawyer to his or her client is critical for informed decision-making. The Bill gives the courts a discretionary power to order that a lawyer make costs disclosure to the lawyer's own client. The order may be made at any stage of the proceeding. This will allow the courts, in appropriate cases, to increase the parties' access to information in relation to actual and estimated costs and disbursements incurred prior to trial, thereby encouraging more informed decision-making and the settlement of appropriate cases.</w:t>
      </w:r>
      <w:r w:rsidRPr="00D27522">
        <w:rPr>
          <w:rFonts w:ascii="Book Antiqua" w:hAnsi="Book Antiqua"/>
          <w:iCs/>
          <w:sz w:val="20"/>
          <w:szCs w:val="20"/>
          <w:lang w:val="en-AU"/>
        </w:rPr>
        <w:t>”</w:t>
      </w:r>
      <w:r w:rsidR="005213F9" w:rsidRPr="00D27522">
        <w:rPr>
          <w:rFonts w:ascii="Book Antiqua" w:hAnsi="Book Antiqua"/>
          <w:iCs/>
          <w:sz w:val="20"/>
          <w:szCs w:val="20"/>
          <w:lang w:val="en-AU"/>
        </w:rPr>
        <w:t> </w:t>
      </w:r>
    </w:p>
    <w:p w:rsidR="005213F9" w:rsidRPr="00D27522" w:rsidRDefault="005213F9" w:rsidP="005213F9">
      <w:pPr>
        <w:spacing w:line="360" w:lineRule="auto"/>
        <w:jc w:val="both"/>
        <w:rPr>
          <w:rFonts w:ascii="Book Antiqua" w:hAnsi="Book Antiqua"/>
          <w:sz w:val="22"/>
          <w:szCs w:val="22"/>
          <w:lang w:val="en-AU"/>
        </w:rPr>
      </w:pPr>
    </w:p>
    <w:p w:rsidR="005213F9" w:rsidRPr="00D27522" w:rsidRDefault="005213F9" w:rsidP="001C1BB0">
      <w:pPr>
        <w:spacing w:line="360" w:lineRule="auto"/>
        <w:jc w:val="both"/>
        <w:rPr>
          <w:rFonts w:ascii="Book Antiqua" w:hAnsi="Book Antiqua"/>
          <w:sz w:val="22"/>
          <w:szCs w:val="22"/>
          <w:lang w:val="en-AU"/>
        </w:rPr>
      </w:pPr>
      <w:r w:rsidRPr="00D27522">
        <w:rPr>
          <w:rFonts w:ascii="Book Antiqua" w:hAnsi="Book Antiqua"/>
          <w:iCs/>
          <w:sz w:val="22"/>
          <w:szCs w:val="22"/>
          <w:lang w:val="en-AU"/>
        </w:rPr>
        <w:t xml:space="preserve">The </w:t>
      </w:r>
      <w:r w:rsidR="00C103F3" w:rsidRPr="00D27522">
        <w:rPr>
          <w:rFonts w:ascii="Book Antiqua" w:hAnsi="Book Antiqua"/>
          <w:iCs/>
          <w:sz w:val="22"/>
          <w:szCs w:val="22"/>
          <w:lang w:val="en-AU"/>
        </w:rPr>
        <w:t xml:space="preserve">Act </w:t>
      </w:r>
      <w:r w:rsidRPr="00D27522">
        <w:rPr>
          <w:rFonts w:ascii="Book Antiqua" w:hAnsi="Book Antiqua"/>
          <w:iCs/>
          <w:sz w:val="22"/>
          <w:szCs w:val="22"/>
          <w:lang w:val="en-AU"/>
        </w:rPr>
        <w:t xml:space="preserve">also clarifies and strengthens the courts' discretionary power to make other costs orders aside from the usual order that the losing party pay the winning party's costs. The </w:t>
      </w:r>
      <w:r w:rsidR="00C103F3" w:rsidRPr="00D27522">
        <w:rPr>
          <w:rFonts w:ascii="Book Antiqua" w:hAnsi="Book Antiqua"/>
          <w:iCs/>
          <w:sz w:val="22"/>
          <w:szCs w:val="22"/>
          <w:lang w:val="en-AU"/>
        </w:rPr>
        <w:t xml:space="preserve">Act </w:t>
      </w:r>
      <w:r w:rsidRPr="00D27522">
        <w:rPr>
          <w:rFonts w:ascii="Book Antiqua" w:hAnsi="Book Antiqua"/>
          <w:iCs/>
          <w:sz w:val="22"/>
          <w:szCs w:val="22"/>
          <w:lang w:val="en-AU"/>
        </w:rPr>
        <w:t>provides that the court may make any costs order that it considers appropriate to further the overarching purpose. Specific powers include ordering costs as a lump sum figure instead of taxed costs, ordering a party to pay a proportion of costs or fixing or capping recoverable costs in advance. Such orders avoid or narrow the scope of a taxation of costs. The objective is to increase the use of other costs orders in appropriate cases, thereby reducing the complexity, time and cost associated with taxation. Orders may be made in relation to any aspect of a proceeding, including, but not limited to, any interlocutory proceeding.</w:t>
      </w:r>
    </w:p>
    <w:p w:rsidR="009A1859" w:rsidRDefault="009A1859" w:rsidP="00367BCC">
      <w:pPr>
        <w:rPr>
          <w:rFonts w:ascii="Book Antiqua" w:hAnsi="Book Antiqua"/>
          <w:b/>
          <w:sz w:val="22"/>
          <w:szCs w:val="22"/>
          <w:u w:val="single"/>
          <w:lang w:val="en-AU"/>
        </w:rPr>
      </w:pPr>
    </w:p>
    <w:p w:rsidR="004F25D7" w:rsidRPr="00D11DBD" w:rsidRDefault="006B0913" w:rsidP="002130C0">
      <w:pPr>
        <w:spacing w:line="360" w:lineRule="auto"/>
        <w:jc w:val="both"/>
        <w:rPr>
          <w:rFonts w:ascii="Book Antiqua" w:hAnsi="Book Antiqua"/>
          <w:b/>
          <w:u w:val="single"/>
          <w:lang w:val="en-AU"/>
        </w:rPr>
      </w:pPr>
      <w:r w:rsidRPr="00D11DBD">
        <w:rPr>
          <w:rFonts w:ascii="Book Antiqua" w:hAnsi="Book Antiqua"/>
          <w:b/>
          <w:u w:val="single"/>
          <w:lang w:val="en-AU"/>
        </w:rPr>
        <w:t>Conclusion</w:t>
      </w:r>
    </w:p>
    <w:p w:rsidR="00BE5D5C" w:rsidRPr="00D27522" w:rsidRDefault="00BE5D5C" w:rsidP="00BE5D5C">
      <w:pPr>
        <w:spacing w:line="360" w:lineRule="auto"/>
        <w:jc w:val="both"/>
        <w:rPr>
          <w:rFonts w:ascii="Book Antiqua" w:hAnsi="Book Antiqua"/>
          <w:sz w:val="22"/>
          <w:szCs w:val="22"/>
          <w:lang w:val="en-AU"/>
        </w:rPr>
      </w:pPr>
    </w:p>
    <w:p w:rsidR="00BE5D5C" w:rsidRPr="00D27522" w:rsidRDefault="00BE5D5C" w:rsidP="00E511AF">
      <w:pPr>
        <w:autoSpaceDE w:val="0"/>
        <w:autoSpaceDN w:val="0"/>
        <w:adjustRightInd w:val="0"/>
        <w:spacing w:line="360" w:lineRule="auto"/>
        <w:rPr>
          <w:rFonts w:ascii="Book Antiqua" w:hAnsi="Book Antiqua"/>
          <w:sz w:val="22"/>
          <w:szCs w:val="22"/>
          <w:lang w:val="en-AU"/>
        </w:rPr>
      </w:pPr>
      <w:r w:rsidRPr="00D27522">
        <w:rPr>
          <w:rFonts w:ascii="Book Antiqua" w:hAnsi="Book Antiqua"/>
          <w:sz w:val="22"/>
          <w:szCs w:val="22"/>
          <w:lang w:val="en-AU"/>
        </w:rPr>
        <w:t xml:space="preserve">In discussing the </w:t>
      </w:r>
      <w:r w:rsidR="0044757E" w:rsidRPr="00D27522">
        <w:rPr>
          <w:rFonts w:ascii="Book Antiqua" w:hAnsi="Book Antiqua"/>
          <w:sz w:val="22"/>
          <w:szCs w:val="22"/>
          <w:lang w:val="en-AU"/>
        </w:rPr>
        <w:t>case management</w:t>
      </w:r>
      <w:r w:rsidRPr="00D27522">
        <w:rPr>
          <w:rFonts w:ascii="Book Antiqua" w:hAnsi="Book Antiqua"/>
          <w:sz w:val="22"/>
          <w:szCs w:val="22"/>
          <w:lang w:val="en-AU"/>
        </w:rPr>
        <w:t xml:space="preserve"> powers provided to the court </w:t>
      </w:r>
      <w:r w:rsidR="00367BCC">
        <w:rPr>
          <w:rFonts w:ascii="Book Antiqua" w:hAnsi="Book Antiqua"/>
          <w:sz w:val="22"/>
          <w:szCs w:val="22"/>
          <w:lang w:val="en-AU"/>
        </w:rPr>
        <w:t>under the</w:t>
      </w:r>
      <w:r w:rsidR="0044757E" w:rsidRPr="00D27522">
        <w:rPr>
          <w:rFonts w:ascii="Book Antiqua" w:hAnsi="Book Antiqua"/>
          <w:sz w:val="22"/>
          <w:szCs w:val="22"/>
          <w:lang w:val="en-AU"/>
        </w:rPr>
        <w:t xml:space="preserve"> </w:t>
      </w:r>
      <w:r w:rsidR="0044757E" w:rsidRPr="00D11DBD">
        <w:rPr>
          <w:rFonts w:ascii="Book Antiqua" w:hAnsi="Book Antiqua"/>
          <w:i/>
          <w:sz w:val="22"/>
          <w:szCs w:val="22"/>
          <w:lang w:val="en-AU"/>
        </w:rPr>
        <w:t>Civil Procedure Act</w:t>
      </w:r>
      <w:r w:rsidR="0044757E" w:rsidRPr="00D27522">
        <w:rPr>
          <w:rFonts w:ascii="Book Antiqua" w:hAnsi="Book Antiqua"/>
          <w:sz w:val="22"/>
          <w:szCs w:val="22"/>
          <w:lang w:val="en-AU"/>
        </w:rPr>
        <w:t xml:space="preserve"> 2005 (NSW)  in </w:t>
      </w:r>
      <w:r w:rsidR="0044757E" w:rsidRPr="00D27522">
        <w:rPr>
          <w:rFonts w:ascii="Book Antiqua" w:hAnsi="Book Antiqua"/>
          <w:i/>
          <w:sz w:val="22"/>
          <w:szCs w:val="22"/>
        </w:rPr>
        <w:t>Expense Reduction Analysts Group Pty Ltd v Armstrong Strategic Management and Marketing Pty</w:t>
      </w:r>
      <w:r w:rsidR="00D11DBD">
        <w:rPr>
          <w:rFonts w:ascii="Book Antiqua" w:hAnsi="Book Antiqua"/>
          <w:sz w:val="22"/>
          <w:szCs w:val="22"/>
        </w:rPr>
        <w:t xml:space="preserve"> </w:t>
      </w:r>
      <w:r w:rsidR="00D11DBD" w:rsidRPr="00D11DBD">
        <w:rPr>
          <w:rFonts w:ascii="Book Antiqua" w:hAnsi="Book Antiqua"/>
          <w:i/>
          <w:sz w:val="22"/>
          <w:szCs w:val="22"/>
        </w:rPr>
        <w:t>L</w:t>
      </w:r>
      <w:r w:rsidR="0044757E" w:rsidRPr="00D11DBD">
        <w:rPr>
          <w:rFonts w:ascii="Book Antiqua" w:hAnsi="Book Antiqua"/>
          <w:i/>
          <w:sz w:val="22"/>
          <w:szCs w:val="22"/>
        </w:rPr>
        <w:t>td</w:t>
      </w:r>
      <w:r w:rsidR="00367BCC">
        <w:rPr>
          <w:rFonts w:ascii="Book Antiqua" w:hAnsi="Book Antiqua"/>
          <w:i/>
          <w:sz w:val="22"/>
          <w:szCs w:val="22"/>
        </w:rPr>
        <w:t>,</w:t>
      </w:r>
      <w:r w:rsidR="0044757E" w:rsidRPr="00D27522">
        <w:rPr>
          <w:rStyle w:val="FootnoteReference"/>
          <w:rFonts w:ascii="Book Antiqua" w:hAnsi="Book Antiqua"/>
          <w:sz w:val="22"/>
          <w:szCs w:val="22"/>
        </w:rPr>
        <w:footnoteReference w:id="80"/>
      </w:r>
      <w:r w:rsidR="00367BCC">
        <w:rPr>
          <w:rFonts w:ascii="Book Antiqua" w:hAnsi="Book Antiqua"/>
          <w:i/>
          <w:sz w:val="22"/>
          <w:szCs w:val="22"/>
        </w:rPr>
        <w:t xml:space="preserve"> </w:t>
      </w:r>
      <w:r w:rsidRPr="00D27522">
        <w:rPr>
          <w:rFonts w:ascii="Book Antiqua" w:hAnsi="Book Antiqua"/>
          <w:sz w:val="22"/>
          <w:szCs w:val="22"/>
          <w:lang w:val="en-AU"/>
        </w:rPr>
        <w:t xml:space="preserve">the </w:t>
      </w:r>
      <w:r w:rsidR="0044757E" w:rsidRPr="00D27522">
        <w:rPr>
          <w:rFonts w:ascii="Book Antiqua" w:hAnsi="Book Antiqua"/>
          <w:sz w:val="22"/>
          <w:szCs w:val="22"/>
          <w:lang w:val="en-AU"/>
        </w:rPr>
        <w:t xml:space="preserve">High </w:t>
      </w:r>
      <w:r w:rsidRPr="00D27522">
        <w:rPr>
          <w:rFonts w:ascii="Book Antiqua" w:hAnsi="Book Antiqua"/>
          <w:sz w:val="22"/>
          <w:szCs w:val="22"/>
          <w:lang w:val="en-AU"/>
        </w:rPr>
        <w:t>Court</w:t>
      </w:r>
      <w:r w:rsidR="0044757E" w:rsidRPr="00D27522">
        <w:rPr>
          <w:rFonts w:ascii="Book Antiqua" w:hAnsi="Book Antiqua"/>
          <w:sz w:val="22"/>
          <w:szCs w:val="22"/>
          <w:lang w:val="en-AU"/>
        </w:rPr>
        <w:t xml:space="preserve"> </w:t>
      </w:r>
      <w:r w:rsidR="009A1859">
        <w:rPr>
          <w:rFonts w:ascii="Book Antiqua" w:hAnsi="Book Antiqua"/>
          <w:sz w:val="22"/>
          <w:szCs w:val="22"/>
          <w:lang w:val="en-AU"/>
        </w:rPr>
        <w:t xml:space="preserve">said </w:t>
      </w:r>
      <w:r w:rsidR="0044757E" w:rsidRPr="00D27522">
        <w:rPr>
          <w:rFonts w:ascii="Book Antiqua" w:hAnsi="Book Antiqua"/>
          <w:sz w:val="22"/>
          <w:szCs w:val="22"/>
          <w:lang w:val="en-AU"/>
        </w:rPr>
        <w:t>recently</w:t>
      </w:r>
      <w:r w:rsidR="009A1859">
        <w:rPr>
          <w:rFonts w:ascii="Book Antiqua" w:hAnsi="Book Antiqua"/>
          <w:sz w:val="22"/>
          <w:szCs w:val="22"/>
          <w:lang w:val="en-AU"/>
        </w:rPr>
        <w:t>:</w:t>
      </w:r>
      <w:r w:rsidR="009A1859">
        <w:rPr>
          <w:rStyle w:val="FootnoteReference"/>
          <w:rFonts w:ascii="Book Antiqua" w:hAnsi="Book Antiqua"/>
          <w:sz w:val="22"/>
          <w:szCs w:val="22"/>
          <w:lang w:val="en-AU"/>
        </w:rPr>
        <w:footnoteReference w:id="81"/>
      </w:r>
      <w:r w:rsidRPr="00D27522">
        <w:rPr>
          <w:rFonts w:ascii="Book Antiqua" w:hAnsi="Book Antiqua"/>
          <w:sz w:val="22"/>
          <w:szCs w:val="22"/>
          <w:lang w:val="en-AU"/>
        </w:rPr>
        <w:t xml:space="preserve">:  </w:t>
      </w:r>
    </w:p>
    <w:p w:rsidR="00BE5D5C" w:rsidRPr="00D27522" w:rsidRDefault="00BE5D5C" w:rsidP="00BE5D5C">
      <w:pPr>
        <w:spacing w:line="360" w:lineRule="auto"/>
        <w:jc w:val="both"/>
        <w:rPr>
          <w:rFonts w:ascii="Book Antiqua" w:hAnsi="Book Antiqua"/>
          <w:sz w:val="22"/>
          <w:szCs w:val="22"/>
          <w:lang w:val="en-AU"/>
        </w:rPr>
      </w:pPr>
    </w:p>
    <w:p w:rsidR="00BE5D5C" w:rsidRPr="00D27522" w:rsidRDefault="00BE5D5C" w:rsidP="00E511AF">
      <w:pPr>
        <w:ind w:left="1440" w:right="720"/>
        <w:jc w:val="both"/>
        <w:rPr>
          <w:rFonts w:ascii="Book Antiqua" w:hAnsi="Book Antiqua"/>
          <w:sz w:val="20"/>
          <w:szCs w:val="20"/>
          <w:lang w:val="en-AU"/>
        </w:rPr>
      </w:pPr>
      <w:r w:rsidRPr="00D27522">
        <w:rPr>
          <w:rFonts w:ascii="Book Antiqua" w:hAnsi="Book Antiqua"/>
          <w:sz w:val="20"/>
          <w:szCs w:val="20"/>
          <w:lang w:val="en-AU"/>
        </w:rPr>
        <w:t>“The evident intention and the expectation of the CPA is that the court use these broad powers to facilitate the overriding purpose. Parties continue to have the right to bring, pursue and defend proceedings in the court, but the conduct of those proceedings is firmly in the hands of the court. It is the duty of the parties and their lawyers to assist the court in furthering the overriding purpose.”</w:t>
      </w:r>
    </w:p>
    <w:p w:rsidR="00B3630E" w:rsidRPr="00D27522" w:rsidRDefault="00B3630E" w:rsidP="002130C0">
      <w:pPr>
        <w:spacing w:line="360" w:lineRule="auto"/>
        <w:jc w:val="both"/>
        <w:rPr>
          <w:rFonts w:ascii="Book Antiqua" w:hAnsi="Book Antiqua"/>
          <w:b/>
          <w:sz w:val="22"/>
          <w:szCs w:val="22"/>
          <w:u w:val="single"/>
          <w:lang w:val="en-AU"/>
        </w:rPr>
      </w:pPr>
    </w:p>
    <w:p w:rsidR="00AB317D" w:rsidRPr="00D27522" w:rsidRDefault="0044757E" w:rsidP="002130C0">
      <w:pPr>
        <w:spacing w:line="360" w:lineRule="auto"/>
        <w:jc w:val="both"/>
        <w:rPr>
          <w:rFonts w:ascii="Book Antiqua" w:hAnsi="Book Antiqua"/>
          <w:sz w:val="22"/>
          <w:szCs w:val="22"/>
          <w:lang w:val="en-AU"/>
        </w:rPr>
      </w:pPr>
      <w:r w:rsidRPr="00D27522">
        <w:rPr>
          <w:rFonts w:ascii="Book Antiqua" w:hAnsi="Book Antiqua"/>
          <w:sz w:val="22"/>
          <w:szCs w:val="22"/>
          <w:lang w:val="en-AU"/>
        </w:rPr>
        <w:t>As was observed by</w:t>
      </w:r>
      <w:r w:rsidR="00B3630E" w:rsidRPr="00D27522">
        <w:rPr>
          <w:rFonts w:ascii="Book Antiqua" w:hAnsi="Book Antiqua"/>
          <w:sz w:val="22"/>
          <w:szCs w:val="22"/>
          <w:lang w:val="en-AU"/>
        </w:rPr>
        <w:t xml:space="preserve"> the Court of Appeal</w:t>
      </w:r>
      <w:r w:rsidR="009A1859">
        <w:rPr>
          <w:rFonts w:ascii="Book Antiqua" w:hAnsi="Book Antiqua"/>
          <w:sz w:val="22"/>
          <w:szCs w:val="22"/>
          <w:lang w:val="en-AU"/>
        </w:rPr>
        <w:t xml:space="preserve"> </w:t>
      </w:r>
      <w:r w:rsidR="00B3630E" w:rsidRPr="00D27522">
        <w:rPr>
          <w:rFonts w:ascii="Book Antiqua" w:hAnsi="Book Antiqua"/>
          <w:sz w:val="22"/>
          <w:szCs w:val="22"/>
          <w:lang w:val="en-AU"/>
        </w:rPr>
        <w:t xml:space="preserve">in the </w:t>
      </w:r>
      <w:r w:rsidR="00B3630E" w:rsidRPr="00D27522">
        <w:rPr>
          <w:rFonts w:ascii="Book Antiqua" w:hAnsi="Book Antiqua"/>
          <w:i/>
          <w:sz w:val="22"/>
          <w:szCs w:val="22"/>
          <w:lang w:val="en-AU"/>
        </w:rPr>
        <w:t>Oswal Proceedings</w:t>
      </w:r>
      <w:r w:rsidRPr="00D27522">
        <w:rPr>
          <w:rFonts w:ascii="Book Antiqua" w:hAnsi="Book Antiqua"/>
          <w:sz w:val="22"/>
          <w:szCs w:val="22"/>
          <w:lang w:val="en-AU"/>
        </w:rPr>
        <w:t xml:space="preserve">, the powers given to courts in this State under the </w:t>
      </w:r>
      <w:r w:rsidRPr="00D27522">
        <w:rPr>
          <w:rFonts w:ascii="Book Antiqua" w:hAnsi="Book Antiqua"/>
          <w:i/>
          <w:sz w:val="22"/>
          <w:szCs w:val="22"/>
          <w:lang w:val="en-AU"/>
        </w:rPr>
        <w:t xml:space="preserve">Civil Procedure Act </w:t>
      </w:r>
      <w:r w:rsidRPr="00D27522">
        <w:rPr>
          <w:rFonts w:ascii="Book Antiqua" w:hAnsi="Book Antiqua"/>
          <w:sz w:val="22"/>
          <w:szCs w:val="22"/>
          <w:lang w:val="en-AU"/>
        </w:rPr>
        <w:t>2010 go even further. The Court’s judgment in that case</w:t>
      </w:r>
      <w:r w:rsidR="00B3630E" w:rsidRPr="00D27522">
        <w:rPr>
          <w:rFonts w:ascii="Book Antiqua" w:hAnsi="Book Antiqua"/>
          <w:sz w:val="22"/>
          <w:szCs w:val="22"/>
          <w:lang w:val="en-AU"/>
        </w:rPr>
        <w:t xml:space="preserve"> has set the framework for courts across this jurisdiction to fully </w:t>
      </w:r>
      <w:r w:rsidRPr="00D27522">
        <w:rPr>
          <w:rFonts w:ascii="Book Antiqua" w:hAnsi="Book Antiqua"/>
          <w:sz w:val="22"/>
          <w:szCs w:val="22"/>
          <w:lang w:val="en-AU"/>
        </w:rPr>
        <w:t xml:space="preserve">and </w:t>
      </w:r>
      <w:r w:rsidR="00367BCC">
        <w:rPr>
          <w:rFonts w:ascii="Book Antiqua" w:hAnsi="Book Antiqua"/>
          <w:sz w:val="22"/>
          <w:szCs w:val="22"/>
          <w:lang w:val="en-AU"/>
        </w:rPr>
        <w:t>un</w:t>
      </w:r>
      <w:r w:rsidRPr="00D27522">
        <w:rPr>
          <w:rFonts w:ascii="Book Antiqua" w:hAnsi="Book Antiqua"/>
          <w:sz w:val="22"/>
          <w:szCs w:val="22"/>
          <w:lang w:val="en-AU"/>
        </w:rPr>
        <w:t xml:space="preserve">hesitatingly </w:t>
      </w:r>
      <w:r w:rsidR="00B3630E" w:rsidRPr="00D27522">
        <w:rPr>
          <w:rFonts w:ascii="Book Antiqua" w:hAnsi="Book Antiqua"/>
          <w:sz w:val="22"/>
          <w:szCs w:val="22"/>
          <w:lang w:val="en-AU"/>
        </w:rPr>
        <w:t xml:space="preserve">utilise the powers </w:t>
      </w:r>
      <w:r w:rsidRPr="00D27522">
        <w:rPr>
          <w:rFonts w:ascii="Book Antiqua" w:hAnsi="Book Antiqua"/>
          <w:sz w:val="22"/>
          <w:szCs w:val="22"/>
          <w:lang w:val="en-AU"/>
        </w:rPr>
        <w:t>under the Act</w:t>
      </w:r>
      <w:r w:rsidR="00B3630E" w:rsidRPr="00D27522">
        <w:rPr>
          <w:rFonts w:ascii="Book Antiqua" w:hAnsi="Book Antiqua"/>
          <w:sz w:val="22"/>
          <w:szCs w:val="22"/>
          <w:lang w:val="en-AU"/>
        </w:rPr>
        <w:t xml:space="preserve"> to ensure the just, efficient, timely and cost-effective resolution of the real issues in dispute.</w:t>
      </w:r>
      <w:r w:rsidRPr="00D27522">
        <w:rPr>
          <w:rFonts w:ascii="Book Antiqua" w:hAnsi="Book Antiqua"/>
          <w:sz w:val="22"/>
          <w:szCs w:val="22"/>
          <w:lang w:val="en-AU"/>
        </w:rPr>
        <w:t xml:space="preserve"> It can no longer be the case that practitioners can hold the mistaken belief that the obligations under the Act are merely ‘aspirational’ rather than obligatory, nor should a practitioner feel that the provisions are generalities that operate as merely a gentle touch in the direction of the </w:t>
      </w:r>
      <w:r w:rsidR="006B0913" w:rsidRPr="00D27522">
        <w:rPr>
          <w:rFonts w:ascii="Book Antiqua" w:hAnsi="Book Antiqua"/>
          <w:sz w:val="22"/>
          <w:szCs w:val="22"/>
          <w:lang w:val="en-AU"/>
        </w:rPr>
        <w:t>‘</w:t>
      </w:r>
      <w:r w:rsidRPr="00D27522">
        <w:rPr>
          <w:rFonts w:ascii="Book Antiqua" w:hAnsi="Book Antiqua"/>
          <w:sz w:val="22"/>
          <w:szCs w:val="22"/>
          <w:lang w:val="en-AU"/>
        </w:rPr>
        <w:t>pursuit of justice.</w:t>
      </w:r>
      <w:r w:rsidR="006B0913" w:rsidRPr="00D27522">
        <w:rPr>
          <w:rFonts w:ascii="Book Antiqua" w:hAnsi="Book Antiqua"/>
          <w:sz w:val="22"/>
          <w:szCs w:val="22"/>
          <w:lang w:val="en-AU"/>
        </w:rPr>
        <w:t>’</w:t>
      </w:r>
      <w:r w:rsidRPr="00D27522">
        <w:rPr>
          <w:rFonts w:ascii="Book Antiqua" w:hAnsi="Book Antiqua"/>
          <w:sz w:val="22"/>
          <w:szCs w:val="22"/>
          <w:lang w:val="en-AU"/>
        </w:rPr>
        <w:t xml:space="preserve"> </w:t>
      </w:r>
      <w:r w:rsidR="006B0913" w:rsidRPr="00D27522">
        <w:rPr>
          <w:rFonts w:ascii="Book Antiqua" w:hAnsi="Book Antiqua"/>
          <w:sz w:val="22"/>
          <w:szCs w:val="22"/>
          <w:lang w:val="en-AU"/>
        </w:rPr>
        <w:t xml:space="preserve"> The fundamental position that the overarching obligations now hold in the Victorian civil litigation system has been clearly established, as has the responsibility of the judiciary to ensure that </w:t>
      </w:r>
      <w:r w:rsidR="00AB317D" w:rsidRPr="00D27522">
        <w:rPr>
          <w:rFonts w:ascii="Book Antiqua" w:hAnsi="Book Antiqua"/>
          <w:sz w:val="22"/>
          <w:szCs w:val="22"/>
          <w:lang w:val="en-AU"/>
        </w:rPr>
        <w:t>the court give</w:t>
      </w:r>
      <w:r w:rsidR="009A1859">
        <w:rPr>
          <w:rFonts w:ascii="Book Antiqua" w:hAnsi="Book Antiqua"/>
          <w:sz w:val="22"/>
          <w:szCs w:val="22"/>
          <w:lang w:val="en-AU"/>
        </w:rPr>
        <w:t>s</w:t>
      </w:r>
      <w:r w:rsidR="006B0913" w:rsidRPr="00D27522">
        <w:rPr>
          <w:rFonts w:ascii="Book Antiqua" w:hAnsi="Book Antiqua"/>
          <w:sz w:val="22"/>
          <w:szCs w:val="22"/>
          <w:lang w:val="en-AU"/>
        </w:rPr>
        <w:t xml:space="preserve"> effect to the overarching purpose of the Act whenever exercising any of its powers. </w:t>
      </w:r>
    </w:p>
    <w:p w:rsidR="00AB317D" w:rsidRPr="00D27522" w:rsidRDefault="00AB317D" w:rsidP="002130C0">
      <w:pPr>
        <w:spacing w:line="360" w:lineRule="auto"/>
        <w:jc w:val="both"/>
        <w:rPr>
          <w:rFonts w:ascii="Book Antiqua" w:hAnsi="Book Antiqua"/>
          <w:sz w:val="22"/>
          <w:szCs w:val="22"/>
          <w:lang w:val="en-AU"/>
        </w:rPr>
      </w:pPr>
    </w:p>
    <w:p w:rsidR="009A1859" w:rsidRDefault="00AB317D" w:rsidP="002130C0">
      <w:pPr>
        <w:spacing w:line="360" w:lineRule="auto"/>
        <w:jc w:val="both"/>
        <w:rPr>
          <w:rFonts w:ascii="Book Antiqua" w:hAnsi="Book Antiqua"/>
          <w:sz w:val="22"/>
          <w:szCs w:val="22"/>
          <w:lang w:val="en-AU"/>
        </w:rPr>
      </w:pPr>
      <w:r w:rsidRPr="00D27522">
        <w:rPr>
          <w:rFonts w:ascii="Book Antiqua" w:hAnsi="Book Antiqua"/>
          <w:sz w:val="22"/>
          <w:szCs w:val="22"/>
          <w:lang w:val="en-AU"/>
        </w:rPr>
        <w:t>With this in mind, e</w:t>
      </w:r>
      <w:r w:rsidR="006B0913" w:rsidRPr="00D27522">
        <w:rPr>
          <w:rFonts w:ascii="Book Antiqua" w:hAnsi="Book Antiqua"/>
          <w:sz w:val="22"/>
          <w:szCs w:val="22"/>
          <w:lang w:val="en-AU"/>
        </w:rPr>
        <w:t xml:space="preserve">very practitioner </w:t>
      </w:r>
      <w:r w:rsidRPr="00D27522">
        <w:rPr>
          <w:rFonts w:ascii="Book Antiqua" w:hAnsi="Book Antiqua"/>
          <w:sz w:val="22"/>
          <w:szCs w:val="22"/>
          <w:lang w:val="en-AU"/>
        </w:rPr>
        <w:t xml:space="preserve">must fully understand and appreciate the duties and obligations they have under this Act. By maintaining the primacy of these obligations within the culture of civil litigation within Victoria, practitioners, parties and the courts can continue to enhance this State’s reputation as being at the forefront of civil litigation reform throughout the common law world. </w:t>
      </w:r>
    </w:p>
    <w:p w:rsidR="009A1859" w:rsidRDefault="009A1859" w:rsidP="002130C0">
      <w:pPr>
        <w:spacing w:line="360" w:lineRule="auto"/>
        <w:jc w:val="both"/>
        <w:rPr>
          <w:rFonts w:ascii="Book Antiqua" w:hAnsi="Book Antiqua"/>
          <w:sz w:val="22"/>
          <w:szCs w:val="22"/>
          <w:lang w:val="en-AU"/>
        </w:rPr>
      </w:pPr>
    </w:p>
    <w:p w:rsidR="006B0913" w:rsidRPr="00D27522" w:rsidRDefault="009A1859" w:rsidP="002130C0">
      <w:pPr>
        <w:spacing w:line="360" w:lineRule="auto"/>
        <w:jc w:val="both"/>
        <w:rPr>
          <w:rFonts w:ascii="Book Antiqua" w:hAnsi="Book Antiqua"/>
          <w:sz w:val="22"/>
          <w:szCs w:val="22"/>
          <w:lang w:val="en-AU"/>
        </w:rPr>
      </w:pPr>
      <w:r>
        <w:rPr>
          <w:rFonts w:ascii="Book Antiqua" w:hAnsi="Book Antiqua"/>
          <w:sz w:val="22"/>
          <w:szCs w:val="22"/>
          <w:lang w:val="en-AU"/>
        </w:rPr>
        <w:t>With the benefit of legislation such as this we will achieve a position</w:t>
      </w:r>
      <w:r w:rsidR="00AB317D" w:rsidRPr="00D27522">
        <w:rPr>
          <w:rFonts w:ascii="Book Antiqua" w:hAnsi="Book Antiqua"/>
          <w:sz w:val="22"/>
          <w:szCs w:val="22"/>
          <w:lang w:val="en-AU"/>
        </w:rPr>
        <w:t xml:space="preserve"> where the </w:t>
      </w:r>
      <w:r>
        <w:rPr>
          <w:rFonts w:ascii="Book Antiqua" w:hAnsi="Book Antiqua"/>
          <w:sz w:val="22"/>
          <w:szCs w:val="22"/>
          <w:lang w:val="en-AU"/>
        </w:rPr>
        <w:t xml:space="preserve">proverbial </w:t>
      </w:r>
      <w:r w:rsidR="00AB317D" w:rsidRPr="00D27522">
        <w:rPr>
          <w:rFonts w:ascii="Book Antiqua" w:hAnsi="Book Antiqua"/>
          <w:sz w:val="22"/>
          <w:szCs w:val="22"/>
          <w:lang w:val="en-AU"/>
        </w:rPr>
        <w:t xml:space="preserve">German farmer </w:t>
      </w:r>
      <w:r>
        <w:rPr>
          <w:rFonts w:ascii="Book Antiqua" w:hAnsi="Book Antiqua"/>
          <w:sz w:val="22"/>
          <w:szCs w:val="22"/>
          <w:lang w:val="en-AU"/>
        </w:rPr>
        <w:t>may</w:t>
      </w:r>
      <w:r w:rsidRPr="00D27522">
        <w:rPr>
          <w:rFonts w:ascii="Book Antiqua" w:hAnsi="Book Antiqua"/>
          <w:sz w:val="22"/>
          <w:szCs w:val="22"/>
          <w:lang w:val="en-AU"/>
        </w:rPr>
        <w:t xml:space="preserve"> </w:t>
      </w:r>
      <w:r w:rsidR="00AB317D" w:rsidRPr="00D27522">
        <w:rPr>
          <w:rFonts w:ascii="Book Antiqua" w:hAnsi="Book Antiqua"/>
          <w:sz w:val="22"/>
          <w:szCs w:val="22"/>
          <w:lang w:val="en-AU"/>
        </w:rPr>
        <w:t>keep both his sheep and his cow</w:t>
      </w:r>
      <w:r w:rsidR="00367BCC">
        <w:rPr>
          <w:rFonts w:ascii="Book Antiqua" w:hAnsi="Book Antiqua"/>
          <w:sz w:val="22"/>
          <w:szCs w:val="22"/>
          <w:lang w:val="en-AU"/>
        </w:rPr>
        <w:t xml:space="preserve"> – or at least not lose the cow.</w:t>
      </w:r>
    </w:p>
    <w:p w:rsidR="004F25D7" w:rsidRPr="00D27522" w:rsidRDefault="004F25D7" w:rsidP="002130C0">
      <w:pPr>
        <w:spacing w:line="360" w:lineRule="auto"/>
        <w:jc w:val="both"/>
        <w:rPr>
          <w:rFonts w:ascii="Book Antiqua" w:hAnsi="Book Antiqua"/>
          <w:b/>
          <w:sz w:val="22"/>
          <w:szCs w:val="22"/>
          <w:u w:val="single"/>
          <w:lang w:val="en-AU"/>
        </w:rPr>
      </w:pPr>
    </w:p>
    <w:p w:rsidR="00682C0B" w:rsidRPr="00D27522" w:rsidRDefault="00682C0B" w:rsidP="001C1BB0">
      <w:pPr>
        <w:spacing w:line="360" w:lineRule="auto"/>
        <w:jc w:val="both"/>
        <w:rPr>
          <w:rFonts w:ascii="Book Antiqua" w:hAnsi="Book Antiqua"/>
          <w:sz w:val="22"/>
          <w:szCs w:val="22"/>
          <w:lang w:val="en-AU"/>
        </w:rPr>
      </w:pPr>
    </w:p>
    <w:sectPr w:rsidR="00682C0B" w:rsidRPr="00D27522" w:rsidSect="005E4349">
      <w:footerReference w:type="default" r:id="rId9"/>
      <w:pgSz w:w="11900" w:h="16840" w:code="9"/>
      <w:pgMar w:top="1440" w:right="1440" w:bottom="1440" w:left="1440" w:header="708" w:footer="708" w:gutter="0"/>
      <w:cols w:space="708"/>
      <w:docGrid w:linePitch="2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5B4" w:rsidRDefault="000415B4">
      <w:r>
        <w:separator/>
      </w:r>
    </w:p>
  </w:endnote>
  <w:endnote w:type="continuationSeparator" w:id="0">
    <w:p w:rsidR="000415B4" w:rsidRDefault="0004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Frutiger-Light">
    <w:panose1 w:val="00000000000000000000"/>
    <w:charset w:val="00"/>
    <w:family w:val="swiss"/>
    <w:notTrueType/>
    <w:pitch w:val="default"/>
    <w:sig w:usb0="00000003" w:usb1="00000000" w:usb2="00000000" w:usb3="00000000" w:csb0="00000001" w:csb1="00000000"/>
  </w:font>
  <w:font w:name="Frutiger-LightItalic">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424346"/>
      <w:docPartObj>
        <w:docPartGallery w:val="Page Numbers (Bottom of Page)"/>
        <w:docPartUnique/>
      </w:docPartObj>
    </w:sdtPr>
    <w:sdtEndPr>
      <w:rPr>
        <w:noProof/>
      </w:rPr>
    </w:sdtEndPr>
    <w:sdtContent>
      <w:p w:rsidR="000415B4" w:rsidRDefault="000415B4">
        <w:pPr>
          <w:pStyle w:val="Footer"/>
          <w:jc w:val="center"/>
        </w:pPr>
        <w:r>
          <w:fldChar w:fldCharType="begin"/>
        </w:r>
        <w:r>
          <w:instrText xml:space="preserve"> PAGE   \* MERGEFORMAT </w:instrText>
        </w:r>
        <w:r>
          <w:fldChar w:fldCharType="separate"/>
        </w:r>
        <w:r w:rsidR="00265F76">
          <w:rPr>
            <w:noProof/>
          </w:rPr>
          <w:t>1</w:t>
        </w:r>
        <w:r>
          <w:rPr>
            <w:noProof/>
          </w:rPr>
          <w:fldChar w:fldCharType="end"/>
        </w:r>
      </w:p>
    </w:sdtContent>
  </w:sdt>
  <w:p w:rsidR="000415B4" w:rsidRDefault="000415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5B4" w:rsidRDefault="000415B4">
      <w:r>
        <w:separator/>
      </w:r>
    </w:p>
  </w:footnote>
  <w:footnote w:type="continuationSeparator" w:id="0">
    <w:p w:rsidR="000415B4" w:rsidRDefault="000415B4">
      <w:r>
        <w:continuationSeparator/>
      </w:r>
    </w:p>
  </w:footnote>
  <w:footnote w:id="1">
    <w:p w:rsidR="000415B4" w:rsidRDefault="000415B4" w:rsidP="004727BB">
      <w:pPr>
        <w:pStyle w:val="FootnoteText"/>
        <w:ind w:left="120" w:hanging="120"/>
      </w:pPr>
      <w:r w:rsidRPr="002C57B0">
        <w:rPr>
          <w:rStyle w:val="FootnoteReference"/>
        </w:rPr>
        <w:sym w:font="Symbol" w:char="F02A"/>
      </w:r>
      <w:r>
        <w:tab/>
        <w:t xml:space="preserve">A paper presented at the Law Institute of Victoria Costs Conference, 14 February 2014, Melbourne.  I would like to thank my Senior Associate, Mr Luke Virgona, LLB (Monash), MCom (Swinburne), for his assistance in the preparation of this paper.  </w:t>
      </w:r>
    </w:p>
  </w:footnote>
  <w:footnote w:id="2">
    <w:p w:rsidR="000415B4" w:rsidRDefault="000415B4" w:rsidP="004727BB">
      <w:pPr>
        <w:pStyle w:val="FootnoteText"/>
        <w:ind w:left="120" w:hanging="120"/>
      </w:pPr>
      <w:r w:rsidRPr="002C57B0">
        <w:rPr>
          <w:rStyle w:val="FootnoteReference"/>
        </w:rPr>
        <w:sym w:font="Symbol" w:char="F02A"/>
      </w:r>
      <w:r>
        <w:tab/>
        <w:t>B Ec LLM (Monash), PhD (Cambridge), LFACICA, LFIAMA, JFAMINZ, FCIArb – Judge in charge of a Commercial List and the Arbitration List for the Commercial Court of the Supreme Court of Victoria.</w:t>
      </w:r>
    </w:p>
  </w:footnote>
  <w:footnote w:id="3">
    <w:p w:rsidR="000415B4" w:rsidRPr="00D11DBD" w:rsidRDefault="000415B4" w:rsidP="009132A4">
      <w:pPr>
        <w:pStyle w:val="FootnoteText"/>
        <w:rPr>
          <w:rFonts w:ascii="Book Antiqua" w:hAnsi="Book Antiqua"/>
          <w:sz w:val="20"/>
          <w:szCs w:val="20"/>
          <w:lang w:val="en-AU"/>
        </w:rPr>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sz w:val="20"/>
          <w:szCs w:val="20"/>
          <w:lang w:val="en-AU"/>
        </w:rPr>
        <w:t xml:space="preserve">LexisNexis Butterworths, </w:t>
      </w:r>
      <w:r w:rsidRPr="00D11DBD">
        <w:rPr>
          <w:rFonts w:ascii="Book Antiqua" w:hAnsi="Book Antiqua"/>
          <w:i/>
          <w:sz w:val="20"/>
          <w:szCs w:val="20"/>
          <w:lang w:val="en-AU"/>
        </w:rPr>
        <w:t>Civil Procedure: Victoria</w:t>
      </w:r>
      <w:r w:rsidRPr="00D11DBD">
        <w:rPr>
          <w:rFonts w:ascii="Book Antiqua" w:hAnsi="Book Antiqua"/>
          <w:sz w:val="20"/>
          <w:szCs w:val="20"/>
          <w:lang w:val="en-AU"/>
        </w:rPr>
        <w:t>, vol 2 (at Service 273) [C 1.01.0]</w:t>
      </w:r>
    </w:p>
  </w:footnote>
  <w:footnote w:id="4">
    <w:p w:rsidR="000415B4" w:rsidRPr="00D11DBD" w:rsidRDefault="000415B4" w:rsidP="004C43AD">
      <w:pPr>
        <w:pStyle w:val="FootnoteText"/>
        <w:rPr>
          <w:rFonts w:ascii="Book Antiqua" w:hAnsi="Book Antiqua"/>
          <w:sz w:val="20"/>
          <w:szCs w:val="20"/>
          <w:lang w:val="en-AU"/>
        </w:rPr>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i/>
          <w:sz w:val="20"/>
          <w:szCs w:val="20"/>
        </w:rPr>
        <w:t>Civil Procedure Act</w:t>
      </w:r>
      <w:r w:rsidRPr="00D11DBD">
        <w:rPr>
          <w:rFonts w:ascii="Book Antiqua" w:hAnsi="Book Antiqua"/>
          <w:sz w:val="20"/>
          <w:szCs w:val="20"/>
        </w:rPr>
        <w:t xml:space="preserve"> 2010</w:t>
      </w:r>
      <w:r>
        <w:rPr>
          <w:rFonts w:ascii="Book Antiqua" w:hAnsi="Book Antiqua"/>
          <w:sz w:val="20"/>
          <w:szCs w:val="20"/>
        </w:rPr>
        <w:t>,</w:t>
      </w:r>
      <w:r w:rsidRPr="00D11DBD">
        <w:rPr>
          <w:rFonts w:ascii="Book Antiqua" w:hAnsi="Book Antiqua"/>
          <w:sz w:val="20"/>
          <w:szCs w:val="20"/>
        </w:rPr>
        <w:t xml:space="preserve"> </w:t>
      </w:r>
      <w:r w:rsidRPr="00D11DBD">
        <w:rPr>
          <w:rFonts w:ascii="Book Antiqua" w:hAnsi="Book Antiqua"/>
          <w:sz w:val="20"/>
          <w:szCs w:val="20"/>
          <w:lang w:val="en-AU"/>
        </w:rPr>
        <w:t>section 7(1)</w:t>
      </w:r>
    </w:p>
  </w:footnote>
  <w:footnote w:id="5">
    <w:p w:rsidR="000415B4" w:rsidRPr="00D11DBD" w:rsidRDefault="000415B4">
      <w:pPr>
        <w:pStyle w:val="FootnoteText"/>
        <w:rPr>
          <w:rFonts w:ascii="Book Antiqua" w:hAnsi="Book Antiqua"/>
          <w:sz w:val="20"/>
          <w:szCs w:val="20"/>
          <w:lang w:val="en-AU"/>
        </w:rPr>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sz w:val="20"/>
          <w:szCs w:val="20"/>
          <w:lang w:val="en-AU"/>
        </w:rPr>
        <w:t>Ipp J, ‘</w:t>
      </w:r>
      <w:r w:rsidRPr="00D11DBD">
        <w:rPr>
          <w:rFonts w:ascii="Book Antiqua" w:hAnsi="Book Antiqua"/>
          <w:i/>
          <w:sz w:val="20"/>
          <w:szCs w:val="20"/>
          <w:lang w:val="en-AU"/>
        </w:rPr>
        <w:t>Lawyers’ Duties to the Court</w:t>
      </w:r>
      <w:r w:rsidRPr="00D11DBD">
        <w:rPr>
          <w:rFonts w:ascii="Book Antiqua" w:hAnsi="Book Antiqua"/>
          <w:sz w:val="20"/>
          <w:szCs w:val="20"/>
          <w:lang w:val="en-AU"/>
        </w:rPr>
        <w:t>’ (1998) 114 Law Quarterly Review 63, 63</w:t>
      </w:r>
    </w:p>
  </w:footnote>
  <w:footnote w:id="6">
    <w:p w:rsidR="000415B4" w:rsidRDefault="000415B4">
      <w:pPr>
        <w:pStyle w:val="FootnoteText"/>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i/>
          <w:sz w:val="20"/>
          <w:szCs w:val="20"/>
          <w:lang w:val="en-AU"/>
        </w:rPr>
        <w:t>Yara Australia Pty Ltd v Oswal; Carson &amp; ors v Oswal; ANZ Banking Group Limited v Oswal; Apache Fertilisers v Oswal</w:t>
      </w:r>
      <w:r w:rsidRPr="00D11DBD">
        <w:rPr>
          <w:rFonts w:ascii="Book Antiqua" w:hAnsi="Book Antiqua"/>
          <w:sz w:val="20"/>
          <w:szCs w:val="20"/>
          <w:lang w:val="en-AU"/>
        </w:rPr>
        <w:t xml:space="preserve"> [2013] VSCA 337 :</w:t>
      </w:r>
      <w:r w:rsidRPr="00D11DBD">
        <w:rPr>
          <w:rFonts w:ascii="Book Antiqua" w:hAnsi="Book Antiqua"/>
          <w:sz w:val="20"/>
          <w:szCs w:val="20"/>
        </w:rPr>
        <w:t>(collectively referred to as the “</w:t>
      </w:r>
      <w:r w:rsidRPr="00D11DBD">
        <w:rPr>
          <w:rFonts w:ascii="Book Antiqua" w:hAnsi="Book Antiqua"/>
          <w:i/>
          <w:sz w:val="20"/>
          <w:szCs w:val="20"/>
        </w:rPr>
        <w:t>Oswal Proceedings</w:t>
      </w:r>
      <w:r w:rsidRPr="00D11DBD">
        <w:rPr>
          <w:rFonts w:ascii="Book Antiqua" w:hAnsi="Book Antiqua"/>
          <w:sz w:val="20"/>
          <w:szCs w:val="20"/>
        </w:rPr>
        <w:t>”), para 22</w:t>
      </w:r>
    </w:p>
  </w:footnote>
  <w:footnote w:id="7">
    <w:p w:rsidR="000415B4" w:rsidRPr="00D11DBD" w:rsidRDefault="000415B4">
      <w:pPr>
        <w:pStyle w:val="FootnoteText"/>
        <w:rPr>
          <w:rFonts w:ascii="Book Antiqua" w:hAnsi="Book Antiqua"/>
          <w:sz w:val="20"/>
          <w:szCs w:val="20"/>
          <w:lang w:val="en-AU"/>
        </w:rPr>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sz w:val="20"/>
          <w:szCs w:val="20"/>
          <w:lang w:val="en-AU"/>
        </w:rPr>
        <w:t xml:space="preserve">Explanatory Memorandum, </w:t>
      </w:r>
      <w:r w:rsidRPr="00D11DBD">
        <w:rPr>
          <w:rFonts w:ascii="Book Antiqua" w:hAnsi="Book Antiqua"/>
          <w:i/>
          <w:sz w:val="20"/>
          <w:szCs w:val="20"/>
          <w:lang w:val="en-AU"/>
        </w:rPr>
        <w:t>Civil Procedure Bill</w:t>
      </w:r>
      <w:r w:rsidRPr="00D11DBD">
        <w:rPr>
          <w:rFonts w:ascii="Book Antiqua" w:hAnsi="Book Antiqua"/>
          <w:sz w:val="20"/>
          <w:szCs w:val="20"/>
          <w:lang w:val="en-AU"/>
        </w:rPr>
        <w:t xml:space="preserve">  2010 (Vic), 6 </w:t>
      </w:r>
    </w:p>
  </w:footnote>
  <w:footnote w:id="8">
    <w:p w:rsidR="000415B4" w:rsidRPr="00D11DBD" w:rsidRDefault="000415B4">
      <w:pPr>
        <w:pStyle w:val="FootnoteText"/>
        <w:rPr>
          <w:rFonts w:ascii="Book Antiqua" w:hAnsi="Book Antiqua"/>
          <w:sz w:val="20"/>
          <w:szCs w:val="20"/>
          <w:lang w:val="en-AU"/>
        </w:rPr>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i/>
          <w:sz w:val="20"/>
          <w:szCs w:val="20"/>
          <w:lang w:val="en-AU"/>
        </w:rPr>
        <w:t>Oswal Proceedings</w:t>
      </w:r>
      <w:r w:rsidRPr="00D11DBD">
        <w:rPr>
          <w:rFonts w:ascii="Book Antiqua" w:hAnsi="Book Antiqua"/>
          <w:sz w:val="20"/>
          <w:szCs w:val="20"/>
          <w:lang w:val="en-AU"/>
        </w:rPr>
        <w:t xml:space="preserve">, para 17 </w:t>
      </w:r>
    </w:p>
  </w:footnote>
  <w:footnote w:id="9">
    <w:p w:rsidR="000415B4" w:rsidRPr="00371D55" w:rsidRDefault="000415B4" w:rsidP="0054436E">
      <w:pPr>
        <w:pStyle w:val="FootnoteText"/>
        <w:rPr>
          <w:lang w:val="en-AU"/>
        </w:rPr>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i/>
          <w:sz w:val="20"/>
          <w:szCs w:val="20"/>
        </w:rPr>
        <w:t>Proceedings in the House of Lords: Trial of Queen Caroline</w:t>
      </w:r>
      <w:r w:rsidRPr="00D11DBD">
        <w:rPr>
          <w:rFonts w:ascii="Book Antiqua" w:hAnsi="Book Antiqua"/>
          <w:sz w:val="20"/>
          <w:szCs w:val="20"/>
        </w:rPr>
        <w:t xml:space="preserve"> (Duncan Stevenson &amp; Co., 1820 ed), vol 2, p 7 referred to in </w:t>
      </w:r>
      <w:r w:rsidRPr="00D11DBD">
        <w:rPr>
          <w:rFonts w:ascii="Book Antiqua" w:hAnsi="Book Antiqua"/>
          <w:sz w:val="20"/>
          <w:szCs w:val="20"/>
          <w:lang w:val="en-AU"/>
        </w:rPr>
        <w:t>Ipp J, ‘</w:t>
      </w:r>
      <w:r w:rsidRPr="00D11DBD">
        <w:rPr>
          <w:rFonts w:ascii="Book Antiqua" w:hAnsi="Book Antiqua"/>
          <w:i/>
          <w:sz w:val="20"/>
          <w:szCs w:val="20"/>
          <w:lang w:val="en-AU"/>
        </w:rPr>
        <w:t>Lawyers’ Duties to the Court</w:t>
      </w:r>
      <w:r w:rsidRPr="00D11DBD">
        <w:rPr>
          <w:rFonts w:ascii="Book Antiqua" w:hAnsi="Book Antiqua"/>
          <w:sz w:val="20"/>
          <w:szCs w:val="20"/>
          <w:lang w:val="en-AU"/>
        </w:rPr>
        <w:t>’ (1998) 114 Law Quarterly Review 63, 83</w:t>
      </w:r>
    </w:p>
  </w:footnote>
  <w:footnote w:id="10">
    <w:p w:rsidR="000415B4" w:rsidRPr="00D11DBD" w:rsidRDefault="000415B4">
      <w:pPr>
        <w:pStyle w:val="FootnoteText"/>
        <w:rPr>
          <w:rFonts w:ascii="Book Antiqua" w:hAnsi="Book Antiqua"/>
          <w:sz w:val="20"/>
          <w:szCs w:val="20"/>
          <w:lang w:val="en-AU"/>
        </w:rPr>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sz w:val="20"/>
          <w:szCs w:val="20"/>
          <w:lang w:val="en-AU"/>
        </w:rPr>
        <w:t xml:space="preserve">Australian Law Reform Commission,  </w:t>
      </w:r>
      <w:r w:rsidRPr="00D11DBD">
        <w:rPr>
          <w:rFonts w:ascii="Book Antiqua" w:hAnsi="Book Antiqua"/>
          <w:i/>
          <w:sz w:val="20"/>
          <w:szCs w:val="20"/>
          <w:lang w:val="en-AU"/>
        </w:rPr>
        <w:t>Managing justice: A review of the federal civil justice system</w:t>
      </w:r>
      <w:r w:rsidR="00AF6D7B">
        <w:rPr>
          <w:rFonts w:ascii="Book Antiqua" w:hAnsi="Book Antiqua"/>
          <w:sz w:val="20"/>
          <w:szCs w:val="20"/>
          <w:lang w:val="en-AU"/>
        </w:rPr>
        <w:t xml:space="preserve">, ALRC 89 </w:t>
      </w:r>
      <w:r w:rsidRPr="00D11DBD">
        <w:rPr>
          <w:rFonts w:ascii="Book Antiqua" w:hAnsi="Book Antiqua"/>
          <w:sz w:val="20"/>
          <w:szCs w:val="20"/>
          <w:lang w:val="en-AU"/>
        </w:rPr>
        <w:t xml:space="preserve"> (“ALRC Review”)</w:t>
      </w:r>
    </w:p>
  </w:footnote>
  <w:footnote w:id="11">
    <w:p w:rsidR="000415B4" w:rsidRPr="00D11DBD" w:rsidRDefault="000415B4" w:rsidP="009132A4">
      <w:pPr>
        <w:pStyle w:val="FootnoteText"/>
        <w:rPr>
          <w:rFonts w:ascii="Book Antiqua" w:hAnsi="Book Antiqua"/>
          <w:sz w:val="20"/>
          <w:szCs w:val="20"/>
          <w:lang w:val="en-AU"/>
        </w:rPr>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i/>
          <w:sz w:val="20"/>
          <w:szCs w:val="20"/>
        </w:rPr>
        <w:t>R v Sussex Justices; Ex parte McCarthy</w:t>
      </w:r>
      <w:r w:rsidRPr="00D11DBD">
        <w:rPr>
          <w:rFonts w:ascii="Book Antiqua" w:hAnsi="Book Antiqua"/>
          <w:sz w:val="20"/>
          <w:szCs w:val="20"/>
        </w:rPr>
        <w:t xml:space="preserve"> [1924] 1 KB 256 at 259</w:t>
      </w:r>
    </w:p>
  </w:footnote>
  <w:footnote w:id="12">
    <w:p w:rsidR="000415B4" w:rsidRPr="00D11DBD" w:rsidRDefault="000415B4" w:rsidP="009132A4">
      <w:pPr>
        <w:pStyle w:val="FootnoteText"/>
        <w:rPr>
          <w:rFonts w:ascii="Book Antiqua" w:hAnsi="Book Antiqua"/>
          <w:sz w:val="20"/>
          <w:szCs w:val="20"/>
          <w:lang w:val="en-AU"/>
        </w:rPr>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i/>
          <w:sz w:val="20"/>
          <w:szCs w:val="20"/>
          <w:lang w:val="en-AU"/>
        </w:rPr>
        <w:t>ALRC Review</w:t>
      </w:r>
      <w:r w:rsidRPr="00D11DBD">
        <w:rPr>
          <w:rFonts w:ascii="Book Antiqua" w:hAnsi="Book Antiqua"/>
          <w:sz w:val="20"/>
          <w:szCs w:val="20"/>
          <w:lang w:val="en-AU"/>
        </w:rPr>
        <w:t>, p. 104</w:t>
      </w:r>
    </w:p>
  </w:footnote>
  <w:footnote w:id="13">
    <w:p w:rsidR="000415B4" w:rsidRPr="00D11DBD" w:rsidRDefault="000415B4">
      <w:pPr>
        <w:pStyle w:val="FootnoteText"/>
        <w:rPr>
          <w:rFonts w:ascii="Book Antiqua" w:hAnsi="Book Antiqua"/>
          <w:sz w:val="20"/>
          <w:szCs w:val="20"/>
          <w:lang w:val="en-AU"/>
        </w:rPr>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sz w:val="20"/>
          <w:szCs w:val="20"/>
          <w:lang w:val="en-AU"/>
        </w:rPr>
        <w:t xml:space="preserve">Victorian Law Reform Commission,  </w:t>
      </w:r>
      <w:r w:rsidRPr="00D11DBD">
        <w:rPr>
          <w:rFonts w:ascii="Book Antiqua" w:hAnsi="Book Antiqua"/>
          <w:i/>
          <w:sz w:val="20"/>
          <w:szCs w:val="20"/>
          <w:lang w:val="en-AU"/>
        </w:rPr>
        <w:t>Civil Justice Review</w:t>
      </w:r>
      <w:r w:rsidRPr="00D11DBD">
        <w:rPr>
          <w:rFonts w:ascii="Book Antiqua" w:hAnsi="Book Antiqua"/>
          <w:sz w:val="20"/>
          <w:szCs w:val="20"/>
          <w:lang w:val="en-AU"/>
        </w:rPr>
        <w:t>, Report No 14 (2008) (“VLRC Review”)</w:t>
      </w:r>
    </w:p>
  </w:footnote>
  <w:footnote w:id="14">
    <w:p w:rsidR="000415B4" w:rsidRPr="00403328" w:rsidRDefault="000415B4" w:rsidP="009132A4">
      <w:pPr>
        <w:pStyle w:val="FootnoteText"/>
        <w:rPr>
          <w:lang w:val="en-AU"/>
        </w:rPr>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i/>
          <w:sz w:val="20"/>
          <w:szCs w:val="20"/>
          <w:lang w:val="en-AU"/>
        </w:rPr>
        <w:t>VLRC Review</w:t>
      </w:r>
      <w:r>
        <w:rPr>
          <w:rFonts w:ascii="Book Antiqua" w:hAnsi="Book Antiqua"/>
          <w:sz w:val="20"/>
          <w:szCs w:val="20"/>
          <w:lang w:val="en-AU"/>
        </w:rPr>
        <w:t>,</w:t>
      </w:r>
      <w:r w:rsidRPr="00D11DBD">
        <w:rPr>
          <w:rFonts w:ascii="Book Antiqua" w:hAnsi="Book Antiqua"/>
          <w:sz w:val="20"/>
          <w:szCs w:val="20"/>
          <w:lang w:val="en-AU"/>
        </w:rPr>
        <w:t xml:space="preserve"> p 153</w:t>
      </w:r>
    </w:p>
  </w:footnote>
  <w:footnote w:id="15">
    <w:p w:rsidR="000415B4" w:rsidRPr="005E664D" w:rsidRDefault="000415B4">
      <w:pPr>
        <w:pStyle w:val="FootnoteText"/>
        <w:rPr>
          <w:rFonts w:ascii="Book Antiqua" w:hAnsi="Book Antiqua"/>
          <w:sz w:val="20"/>
          <w:szCs w:val="20"/>
          <w:lang w:val="en-AU"/>
        </w:rPr>
      </w:pPr>
      <w:r w:rsidRPr="005E664D">
        <w:rPr>
          <w:rStyle w:val="FootnoteReference"/>
          <w:rFonts w:ascii="Book Antiqua" w:hAnsi="Book Antiqua"/>
          <w:sz w:val="20"/>
          <w:szCs w:val="20"/>
        </w:rPr>
        <w:footnoteRef/>
      </w:r>
      <w:r w:rsidRPr="005E664D">
        <w:rPr>
          <w:rFonts w:ascii="Book Antiqua" w:hAnsi="Book Antiqua"/>
          <w:sz w:val="20"/>
          <w:szCs w:val="20"/>
        </w:rPr>
        <w:t xml:space="preserve"> </w:t>
      </w:r>
      <w:r w:rsidRPr="005E664D">
        <w:rPr>
          <w:rFonts w:ascii="Book Antiqua" w:hAnsi="Book Antiqua"/>
          <w:i/>
          <w:sz w:val="20"/>
          <w:szCs w:val="20"/>
          <w:lang w:val="en-AU"/>
        </w:rPr>
        <w:t>Oswal Proceedings,</w:t>
      </w:r>
      <w:r w:rsidRPr="005E664D">
        <w:rPr>
          <w:rFonts w:ascii="Book Antiqua" w:hAnsi="Book Antiqua"/>
          <w:sz w:val="20"/>
          <w:szCs w:val="20"/>
          <w:lang w:val="en-AU"/>
        </w:rPr>
        <w:t xml:space="preserve"> para 5</w:t>
      </w:r>
    </w:p>
  </w:footnote>
  <w:footnote w:id="16">
    <w:p w:rsidR="000415B4" w:rsidRPr="005E664D" w:rsidRDefault="000415B4" w:rsidP="002130C0">
      <w:pPr>
        <w:pStyle w:val="FootnoteText"/>
        <w:rPr>
          <w:rFonts w:ascii="Book Antiqua" w:hAnsi="Book Antiqua"/>
          <w:sz w:val="20"/>
          <w:szCs w:val="20"/>
        </w:rPr>
      </w:pPr>
      <w:r w:rsidRPr="005E664D">
        <w:rPr>
          <w:rStyle w:val="FootnoteReference"/>
          <w:rFonts w:ascii="Book Antiqua" w:hAnsi="Book Antiqua"/>
          <w:sz w:val="20"/>
          <w:szCs w:val="20"/>
        </w:rPr>
        <w:footnoteRef/>
      </w:r>
      <w:r w:rsidRPr="005E664D">
        <w:rPr>
          <w:rFonts w:ascii="Book Antiqua" w:hAnsi="Book Antiqua"/>
          <w:sz w:val="20"/>
          <w:szCs w:val="20"/>
        </w:rPr>
        <w:t xml:space="preserve"> </w:t>
      </w:r>
      <w:r w:rsidRPr="005E664D">
        <w:rPr>
          <w:rFonts w:ascii="Book Antiqua" w:hAnsi="Book Antiqua"/>
          <w:i/>
          <w:sz w:val="20"/>
          <w:szCs w:val="20"/>
        </w:rPr>
        <w:t>Jameel (Yousef) v Dow Jones &amp; Co Inc</w:t>
      </w:r>
      <w:r w:rsidRPr="005E664D">
        <w:rPr>
          <w:rFonts w:ascii="Book Antiqua" w:hAnsi="Book Antiqua"/>
          <w:sz w:val="20"/>
          <w:szCs w:val="20"/>
        </w:rPr>
        <w:t xml:space="preserve"> [2005] QB 946; [2005] EWCA Civ 75 at [54]</w:t>
      </w:r>
    </w:p>
  </w:footnote>
  <w:footnote w:id="17">
    <w:p w:rsidR="000415B4" w:rsidRPr="005E664D" w:rsidRDefault="000415B4" w:rsidP="005E664D">
      <w:pPr>
        <w:autoSpaceDE w:val="0"/>
        <w:autoSpaceDN w:val="0"/>
        <w:adjustRightInd w:val="0"/>
        <w:rPr>
          <w:rFonts w:ascii="Book Antiqua" w:hAnsi="Book Antiqua" w:cs="Frutiger-Light"/>
          <w:sz w:val="22"/>
          <w:szCs w:val="22"/>
          <w:lang w:val="en-AU"/>
        </w:rPr>
      </w:pPr>
      <w:r w:rsidRPr="005E664D">
        <w:rPr>
          <w:rStyle w:val="FootnoteReference"/>
          <w:rFonts w:ascii="Book Antiqua" w:hAnsi="Book Antiqua"/>
          <w:sz w:val="20"/>
          <w:szCs w:val="20"/>
        </w:rPr>
        <w:footnoteRef/>
      </w:r>
      <w:r w:rsidRPr="005E664D">
        <w:rPr>
          <w:rFonts w:ascii="Book Antiqua" w:hAnsi="Book Antiqua"/>
          <w:sz w:val="20"/>
          <w:szCs w:val="20"/>
        </w:rPr>
        <w:t xml:space="preserve"> </w:t>
      </w:r>
      <w:r w:rsidRPr="005E664D">
        <w:rPr>
          <w:rFonts w:ascii="Book Antiqua" w:hAnsi="Book Antiqua" w:cs="Frutiger-LightItalic"/>
          <w:i/>
          <w:iCs/>
          <w:sz w:val="20"/>
          <w:szCs w:val="20"/>
          <w:lang w:val="en-AU"/>
        </w:rPr>
        <w:t>Towli v Fourth River Property Co</w:t>
      </w:r>
      <w:r w:rsidRPr="005E664D">
        <w:rPr>
          <w:rFonts w:ascii="Book Antiqua" w:hAnsi="Book Antiqua" w:cs="Frutiger-Light"/>
          <w:sz w:val="20"/>
          <w:szCs w:val="20"/>
          <w:lang w:val="en-AU"/>
        </w:rPr>
        <w:t xml:space="preserve">: </w:t>
      </w:r>
      <w:r w:rsidRPr="005E664D">
        <w:rPr>
          <w:rFonts w:ascii="Book Antiqua" w:hAnsi="Book Antiqua" w:cs="Frutiger-LightItalic"/>
          <w:i/>
          <w:iCs/>
          <w:sz w:val="20"/>
          <w:szCs w:val="20"/>
          <w:lang w:val="en-AU"/>
        </w:rPr>
        <w:t>The Times</w:t>
      </w:r>
      <w:r w:rsidRPr="005E664D">
        <w:rPr>
          <w:rFonts w:ascii="Book Antiqua" w:hAnsi="Book Antiqua" w:cs="Frutiger-Light"/>
          <w:sz w:val="20"/>
          <w:szCs w:val="20"/>
          <w:lang w:val="en-AU"/>
        </w:rPr>
        <w:t xml:space="preserve"> referred to in Ian Scott, ‘Caseflow Management in the Trial Court’ in Adrian Zuckerman and Ross Cranston (eds), </w:t>
      </w:r>
      <w:r w:rsidRPr="005E664D">
        <w:rPr>
          <w:rFonts w:ascii="Book Antiqua" w:hAnsi="Book Antiqua" w:cs="Frutiger-Light"/>
          <w:i/>
          <w:iCs/>
          <w:sz w:val="20"/>
          <w:szCs w:val="20"/>
          <w:lang w:val="en-AU"/>
        </w:rPr>
        <w:t>Reform of</w:t>
      </w:r>
      <w:r w:rsidRPr="005E664D">
        <w:rPr>
          <w:rFonts w:ascii="Book Antiqua" w:hAnsi="Book Antiqua" w:cs="Frutiger-Light"/>
          <w:sz w:val="20"/>
          <w:szCs w:val="20"/>
          <w:lang w:val="en-AU"/>
        </w:rPr>
        <w:t xml:space="preserve"> </w:t>
      </w:r>
      <w:r w:rsidRPr="005E664D">
        <w:rPr>
          <w:rFonts w:ascii="Book Antiqua" w:hAnsi="Book Antiqua" w:cs="Frutiger-Light"/>
          <w:i/>
          <w:iCs/>
          <w:sz w:val="20"/>
          <w:szCs w:val="20"/>
          <w:lang w:val="en-AU"/>
        </w:rPr>
        <w:t xml:space="preserve">Civil Procedure: Essays on ‘Access to Justice’ </w:t>
      </w:r>
      <w:r w:rsidRPr="005E664D">
        <w:rPr>
          <w:rFonts w:ascii="Book Antiqua" w:hAnsi="Book Antiqua" w:cs="Frutiger-Light"/>
          <w:sz w:val="20"/>
          <w:szCs w:val="20"/>
          <w:lang w:val="en-AU"/>
        </w:rPr>
        <w:t>(1995) 1.</w:t>
      </w:r>
    </w:p>
  </w:footnote>
  <w:footnote w:id="18">
    <w:p w:rsidR="000415B4" w:rsidRPr="00D11DBD" w:rsidRDefault="000415B4">
      <w:pPr>
        <w:pStyle w:val="FootnoteText"/>
        <w:rPr>
          <w:rFonts w:ascii="Book Antiqua" w:hAnsi="Book Antiqua"/>
          <w:sz w:val="20"/>
          <w:szCs w:val="20"/>
          <w:lang w:val="en-AU"/>
        </w:rPr>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sz w:val="20"/>
          <w:szCs w:val="20"/>
          <w:lang w:val="en-AU"/>
        </w:rPr>
        <w:t xml:space="preserve">Dickens, C. </w:t>
      </w:r>
      <w:r w:rsidRPr="00D11DBD">
        <w:rPr>
          <w:rFonts w:ascii="Book Antiqua" w:hAnsi="Book Antiqua"/>
          <w:i/>
          <w:sz w:val="20"/>
          <w:szCs w:val="20"/>
          <w:lang w:val="en-AU"/>
        </w:rPr>
        <w:t>Bleak House</w:t>
      </w:r>
      <w:r w:rsidRPr="00D11DBD">
        <w:rPr>
          <w:rFonts w:ascii="Book Antiqua" w:hAnsi="Book Antiqua"/>
          <w:sz w:val="20"/>
          <w:szCs w:val="20"/>
          <w:lang w:val="en-AU"/>
        </w:rPr>
        <w:t>, London, United Kingdom. Bradbury and Evans, 1853. p 484</w:t>
      </w:r>
    </w:p>
  </w:footnote>
  <w:footnote w:id="19">
    <w:p w:rsidR="000415B4" w:rsidRPr="00D11DBD" w:rsidRDefault="000415B4" w:rsidP="005E664D">
      <w:pPr>
        <w:pStyle w:val="Default"/>
        <w:rPr>
          <w:rFonts w:ascii="Book Antiqua" w:hAnsi="Book Antiqua"/>
          <w:sz w:val="20"/>
          <w:szCs w:val="20"/>
        </w:rPr>
      </w:pPr>
      <w:r w:rsidRPr="00D11DBD">
        <w:rPr>
          <w:rStyle w:val="FootnoteReference"/>
          <w:rFonts w:ascii="Book Antiqua" w:hAnsi="Book Antiqua"/>
          <w:sz w:val="20"/>
          <w:szCs w:val="20"/>
        </w:rPr>
        <w:footnoteRef/>
      </w:r>
      <w:r w:rsidRPr="00D11DBD">
        <w:rPr>
          <w:rFonts w:ascii="Book Antiqua" w:hAnsi="Book Antiqua"/>
          <w:sz w:val="20"/>
          <w:szCs w:val="20"/>
        </w:rPr>
        <w:t xml:space="preserve"> Ipp J, 'Lawyers' Duties to the Court' (1998) 114 </w:t>
      </w:r>
      <w:r w:rsidRPr="00D11DBD">
        <w:rPr>
          <w:rFonts w:ascii="Book Antiqua" w:hAnsi="Book Antiqua"/>
          <w:i/>
          <w:iCs/>
          <w:sz w:val="20"/>
          <w:szCs w:val="20"/>
        </w:rPr>
        <w:t xml:space="preserve">Law Quarterly Review </w:t>
      </w:r>
      <w:r w:rsidRPr="00D11DBD">
        <w:rPr>
          <w:rFonts w:ascii="Book Antiqua" w:hAnsi="Book Antiqua"/>
          <w:sz w:val="20"/>
          <w:szCs w:val="20"/>
        </w:rPr>
        <w:t xml:space="preserve">63, 64  </w:t>
      </w:r>
    </w:p>
  </w:footnote>
  <w:footnote w:id="20">
    <w:p w:rsidR="000415B4" w:rsidRDefault="000415B4">
      <w:pPr>
        <w:pStyle w:val="FootnoteText"/>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i/>
          <w:sz w:val="20"/>
          <w:szCs w:val="20"/>
        </w:rPr>
        <w:t>A Team Diamond Headquarters Pty Ltd v Main Road Property Group Pty Ltd &amp; ors</w:t>
      </w:r>
      <w:r w:rsidRPr="00D11DBD">
        <w:rPr>
          <w:rFonts w:ascii="Book Antiqua" w:hAnsi="Book Antiqua"/>
          <w:sz w:val="20"/>
          <w:szCs w:val="20"/>
        </w:rPr>
        <w:t xml:space="preserve"> (2009) 25 VR 189</w:t>
      </w:r>
    </w:p>
  </w:footnote>
  <w:footnote w:id="21">
    <w:p w:rsidR="000415B4" w:rsidRPr="004F2492" w:rsidRDefault="000415B4">
      <w:pPr>
        <w:pStyle w:val="FootnoteText"/>
        <w:rPr>
          <w:rFonts w:ascii="Book Antiqua" w:hAnsi="Book Antiqua"/>
          <w:sz w:val="20"/>
          <w:szCs w:val="20"/>
          <w:lang w:val="en-AU"/>
        </w:rPr>
      </w:pPr>
      <w:r w:rsidRPr="004F2492">
        <w:rPr>
          <w:rStyle w:val="FootnoteReference"/>
          <w:rFonts w:ascii="Book Antiqua" w:hAnsi="Book Antiqua"/>
          <w:sz w:val="20"/>
          <w:szCs w:val="20"/>
        </w:rPr>
        <w:footnoteRef/>
      </w:r>
      <w:r w:rsidRPr="004F2492">
        <w:rPr>
          <w:rFonts w:ascii="Book Antiqua" w:hAnsi="Book Antiqua"/>
          <w:sz w:val="20"/>
          <w:szCs w:val="20"/>
        </w:rPr>
        <w:t xml:space="preserve"> </w:t>
      </w:r>
      <w:r w:rsidRPr="004F2492">
        <w:rPr>
          <w:rFonts w:ascii="Book Antiqua" w:hAnsi="Book Antiqua"/>
          <w:i/>
          <w:sz w:val="20"/>
          <w:szCs w:val="20"/>
        </w:rPr>
        <w:t>A Team Diamond Headquarters Pty Ltd v Main Road Property Group Pty Ltd &amp; ors</w:t>
      </w:r>
      <w:r w:rsidRPr="004F2492">
        <w:rPr>
          <w:rFonts w:ascii="Book Antiqua" w:hAnsi="Book Antiqua"/>
          <w:sz w:val="20"/>
          <w:szCs w:val="20"/>
        </w:rPr>
        <w:t xml:space="preserve"> (2009) 25 VR 189 at [15]</w:t>
      </w:r>
    </w:p>
  </w:footnote>
  <w:footnote w:id="22">
    <w:p w:rsidR="000415B4" w:rsidRPr="004F2492" w:rsidRDefault="000415B4">
      <w:pPr>
        <w:pStyle w:val="FootnoteText"/>
        <w:rPr>
          <w:rFonts w:ascii="Book Antiqua" w:hAnsi="Book Antiqua"/>
          <w:sz w:val="20"/>
          <w:szCs w:val="20"/>
        </w:rPr>
      </w:pPr>
      <w:r w:rsidRPr="004F2492">
        <w:rPr>
          <w:rStyle w:val="FootnoteReference"/>
          <w:rFonts w:ascii="Book Antiqua" w:hAnsi="Book Antiqua"/>
          <w:sz w:val="20"/>
          <w:szCs w:val="20"/>
        </w:rPr>
        <w:footnoteRef/>
      </w:r>
      <w:r w:rsidRPr="004F2492">
        <w:rPr>
          <w:rFonts w:ascii="Book Antiqua" w:hAnsi="Book Antiqua"/>
          <w:sz w:val="20"/>
          <w:szCs w:val="20"/>
        </w:rPr>
        <w:t xml:space="preserve"> </w:t>
      </w:r>
      <w:r w:rsidRPr="004F2492">
        <w:rPr>
          <w:rFonts w:ascii="Book Antiqua" w:hAnsi="Book Antiqua"/>
          <w:i/>
          <w:sz w:val="20"/>
          <w:szCs w:val="20"/>
        </w:rPr>
        <w:t xml:space="preserve">Aon Risk Services v Australian National University </w:t>
      </w:r>
      <w:r w:rsidRPr="004F2492">
        <w:rPr>
          <w:rFonts w:ascii="Book Antiqua" w:hAnsi="Book Antiqua"/>
          <w:sz w:val="20"/>
          <w:szCs w:val="20"/>
        </w:rPr>
        <w:t>(2009) 239 CLR 175</w:t>
      </w:r>
    </w:p>
  </w:footnote>
  <w:footnote w:id="23">
    <w:p w:rsidR="000415B4" w:rsidRPr="004F2492" w:rsidRDefault="000415B4" w:rsidP="00A66833">
      <w:pPr>
        <w:pStyle w:val="FootnoteText"/>
        <w:ind w:left="720" w:hanging="720"/>
        <w:rPr>
          <w:rFonts w:ascii="Book Antiqua" w:hAnsi="Book Antiqua"/>
          <w:sz w:val="20"/>
          <w:szCs w:val="20"/>
        </w:rPr>
      </w:pPr>
      <w:r w:rsidRPr="004F2492">
        <w:rPr>
          <w:rStyle w:val="FootnoteReference"/>
          <w:rFonts w:ascii="Book Antiqua" w:hAnsi="Book Antiqua"/>
          <w:sz w:val="20"/>
          <w:szCs w:val="20"/>
        </w:rPr>
        <w:footnoteRef/>
      </w:r>
      <w:r w:rsidRPr="004F2492">
        <w:rPr>
          <w:rFonts w:ascii="Book Antiqua" w:hAnsi="Book Antiqua"/>
          <w:sz w:val="20"/>
          <w:szCs w:val="20"/>
        </w:rPr>
        <w:t xml:space="preserve"> </w:t>
      </w:r>
      <w:r w:rsidRPr="004F2492">
        <w:rPr>
          <w:rFonts w:ascii="Book Antiqua" w:hAnsi="Book Antiqua"/>
          <w:i/>
          <w:sz w:val="20"/>
          <w:szCs w:val="20"/>
        </w:rPr>
        <w:t xml:space="preserve">Aon Risk Services v Australian National University </w:t>
      </w:r>
      <w:r w:rsidRPr="004F2492">
        <w:rPr>
          <w:rFonts w:ascii="Book Antiqua" w:hAnsi="Book Antiqua"/>
          <w:sz w:val="20"/>
          <w:szCs w:val="20"/>
        </w:rPr>
        <w:t xml:space="preserve">(2009) 239 </w:t>
      </w:r>
      <w:r>
        <w:rPr>
          <w:rFonts w:ascii="Book Antiqua" w:hAnsi="Book Antiqua"/>
          <w:sz w:val="20"/>
          <w:szCs w:val="20"/>
        </w:rPr>
        <w:t>CLR 175 at 217-218</w:t>
      </w:r>
    </w:p>
  </w:footnote>
  <w:footnote w:id="24">
    <w:p w:rsidR="000415B4" w:rsidRPr="00917731" w:rsidRDefault="000415B4">
      <w:pPr>
        <w:pStyle w:val="FootnoteText"/>
        <w:rPr>
          <w:lang w:val="en-AU"/>
        </w:rPr>
      </w:pPr>
      <w:r w:rsidRPr="004F2492">
        <w:rPr>
          <w:rStyle w:val="FootnoteReference"/>
          <w:rFonts w:ascii="Book Antiqua" w:hAnsi="Book Antiqua"/>
          <w:sz w:val="20"/>
          <w:szCs w:val="20"/>
        </w:rPr>
        <w:footnoteRef/>
      </w:r>
      <w:r>
        <w:t xml:space="preserve"> </w:t>
      </w:r>
      <w:r w:rsidRPr="004F2492">
        <w:rPr>
          <w:rFonts w:ascii="Book Antiqua" w:hAnsi="Book Antiqua"/>
          <w:i/>
          <w:sz w:val="20"/>
          <w:szCs w:val="20"/>
        </w:rPr>
        <w:t xml:space="preserve">Aon Risk Services v Australian National University </w:t>
      </w:r>
      <w:r w:rsidRPr="004F2492">
        <w:rPr>
          <w:rFonts w:ascii="Book Antiqua" w:hAnsi="Book Antiqua"/>
          <w:sz w:val="20"/>
          <w:szCs w:val="20"/>
        </w:rPr>
        <w:t xml:space="preserve">(2009) 239 </w:t>
      </w:r>
      <w:r>
        <w:rPr>
          <w:rFonts w:ascii="Book Antiqua" w:hAnsi="Book Antiqua"/>
          <w:sz w:val="20"/>
          <w:szCs w:val="20"/>
        </w:rPr>
        <w:t>CLR 175 at 188-189</w:t>
      </w:r>
    </w:p>
  </w:footnote>
  <w:footnote w:id="25">
    <w:p w:rsidR="000415B4" w:rsidRPr="00AE3D12" w:rsidRDefault="000415B4">
      <w:pPr>
        <w:pStyle w:val="FootnoteText"/>
        <w:rPr>
          <w:rFonts w:ascii="Book Antiqua" w:hAnsi="Book Antiqua"/>
          <w:sz w:val="20"/>
          <w:szCs w:val="20"/>
          <w:lang w:val="en-AU"/>
        </w:rPr>
      </w:pPr>
      <w:r w:rsidRPr="00AE3D12">
        <w:rPr>
          <w:rStyle w:val="FootnoteReference"/>
          <w:rFonts w:ascii="Book Antiqua" w:hAnsi="Book Antiqua"/>
          <w:sz w:val="20"/>
          <w:szCs w:val="20"/>
        </w:rPr>
        <w:footnoteRef/>
      </w:r>
      <w:r w:rsidRPr="00AE3D12">
        <w:rPr>
          <w:rFonts w:ascii="Book Antiqua" w:hAnsi="Book Antiqua"/>
          <w:sz w:val="20"/>
          <w:szCs w:val="20"/>
        </w:rPr>
        <w:t xml:space="preserve"> </w:t>
      </w:r>
      <w:r w:rsidRPr="00AE3D12">
        <w:rPr>
          <w:rFonts w:ascii="Book Antiqua" w:hAnsi="Book Antiqua"/>
          <w:sz w:val="20"/>
          <w:szCs w:val="20"/>
          <w:lang w:val="en-AU"/>
        </w:rPr>
        <w:t xml:space="preserve">Jolowicz, </w:t>
      </w:r>
      <w:r w:rsidRPr="00AE3D12">
        <w:rPr>
          <w:rFonts w:ascii="Book Antiqua" w:hAnsi="Book Antiqua"/>
          <w:i/>
          <w:sz w:val="20"/>
          <w:szCs w:val="20"/>
          <w:lang w:val="en-AU"/>
        </w:rPr>
        <w:t>On Civil Procedure</w:t>
      </w:r>
      <w:r w:rsidRPr="00AE3D12">
        <w:rPr>
          <w:rFonts w:ascii="Book Antiqua" w:hAnsi="Book Antiqua"/>
          <w:sz w:val="20"/>
          <w:szCs w:val="20"/>
          <w:lang w:val="en-AU"/>
        </w:rPr>
        <w:t xml:space="preserve"> (2000), pp 27-28</w:t>
      </w:r>
    </w:p>
  </w:footnote>
  <w:footnote w:id="26">
    <w:p w:rsidR="000415B4" w:rsidRPr="00D11DBD" w:rsidRDefault="000415B4">
      <w:pPr>
        <w:pStyle w:val="FootnoteText"/>
        <w:rPr>
          <w:rFonts w:ascii="Book Antiqua" w:hAnsi="Book Antiqua"/>
          <w:sz w:val="20"/>
          <w:szCs w:val="20"/>
          <w:lang w:val="en-AU"/>
        </w:rPr>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i/>
          <w:sz w:val="20"/>
          <w:szCs w:val="20"/>
        </w:rPr>
        <w:t xml:space="preserve">Aon Risk Services v Australian National University </w:t>
      </w:r>
      <w:r w:rsidRPr="00D11DBD">
        <w:rPr>
          <w:rFonts w:ascii="Book Antiqua" w:hAnsi="Book Antiqua"/>
          <w:sz w:val="20"/>
          <w:szCs w:val="20"/>
        </w:rPr>
        <w:t>(2009) 239 CLR 175 at 189-190</w:t>
      </w:r>
    </w:p>
  </w:footnote>
  <w:footnote w:id="27">
    <w:p w:rsidR="000415B4" w:rsidRPr="00D11DBD" w:rsidRDefault="000415B4">
      <w:pPr>
        <w:pStyle w:val="FootnoteText"/>
        <w:rPr>
          <w:rFonts w:ascii="Book Antiqua" w:hAnsi="Book Antiqua"/>
          <w:sz w:val="20"/>
          <w:szCs w:val="20"/>
          <w:lang w:val="en-AU"/>
        </w:rPr>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i/>
          <w:iCs/>
          <w:sz w:val="20"/>
          <w:szCs w:val="20"/>
        </w:rPr>
        <w:t xml:space="preserve">Dawson v Deputy Commissioner of Taxation </w:t>
      </w:r>
      <w:r w:rsidRPr="00D11DBD">
        <w:rPr>
          <w:rFonts w:ascii="Book Antiqua" w:hAnsi="Book Antiqua"/>
          <w:iCs/>
          <w:sz w:val="20"/>
          <w:szCs w:val="20"/>
        </w:rPr>
        <w:t>(1984) 71 FLR 364 at 366</w:t>
      </w:r>
    </w:p>
  </w:footnote>
  <w:footnote w:id="28">
    <w:p w:rsidR="000415B4" w:rsidRPr="00AE3D12" w:rsidRDefault="000415B4">
      <w:pPr>
        <w:pStyle w:val="FootnoteText"/>
        <w:rPr>
          <w:rFonts w:ascii="Book Antiqua" w:hAnsi="Book Antiqua"/>
          <w:sz w:val="20"/>
          <w:szCs w:val="20"/>
          <w:lang w:val="en-AU"/>
        </w:rPr>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AE3D12">
        <w:rPr>
          <w:rFonts w:ascii="Book Antiqua" w:hAnsi="Book Antiqua"/>
          <w:i/>
          <w:sz w:val="20"/>
          <w:szCs w:val="20"/>
          <w:lang w:val="en-AU"/>
        </w:rPr>
        <w:t>Ketteman v Hansel Properties L</w:t>
      </w:r>
      <w:r w:rsidRPr="00AE3D12">
        <w:rPr>
          <w:rFonts w:ascii="Book Antiqua" w:hAnsi="Book Antiqua"/>
          <w:sz w:val="20"/>
          <w:szCs w:val="20"/>
          <w:lang w:val="en-AU"/>
        </w:rPr>
        <w:t>td [1987] AC 189</w:t>
      </w:r>
    </w:p>
  </w:footnote>
  <w:footnote w:id="29">
    <w:p w:rsidR="000415B4" w:rsidRPr="00AE3D12" w:rsidRDefault="000415B4">
      <w:pPr>
        <w:pStyle w:val="FootnoteText"/>
        <w:rPr>
          <w:rFonts w:ascii="Book Antiqua" w:hAnsi="Book Antiqua"/>
          <w:sz w:val="20"/>
          <w:szCs w:val="20"/>
          <w:lang w:val="en-AU"/>
        </w:rPr>
      </w:pPr>
      <w:r w:rsidRPr="00AE3D12">
        <w:rPr>
          <w:rStyle w:val="FootnoteReference"/>
          <w:rFonts w:ascii="Book Antiqua" w:hAnsi="Book Antiqua"/>
          <w:sz w:val="20"/>
          <w:szCs w:val="20"/>
        </w:rPr>
        <w:footnoteRef/>
      </w:r>
      <w:r w:rsidRPr="00AE3D12">
        <w:rPr>
          <w:rFonts w:ascii="Book Antiqua" w:hAnsi="Book Antiqua"/>
          <w:sz w:val="20"/>
          <w:szCs w:val="20"/>
        </w:rPr>
        <w:t xml:space="preserve"> </w:t>
      </w:r>
      <w:r w:rsidRPr="00AE3D12">
        <w:rPr>
          <w:rFonts w:ascii="Book Antiqua" w:hAnsi="Book Antiqua"/>
          <w:i/>
          <w:sz w:val="20"/>
          <w:szCs w:val="20"/>
          <w:lang w:val="en-AU"/>
        </w:rPr>
        <w:t xml:space="preserve">Ketteman v Hansel Properties Ltd </w:t>
      </w:r>
      <w:r w:rsidRPr="00AE3D12">
        <w:rPr>
          <w:rFonts w:ascii="Book Antiqua" w:hAnsi="Book Antiqua"/>
          <w:sz w:val="20"/>
          <w:szCs w:val="20"/>
          <w:lang w:val="en-AU"/>
        </w:rPr>
        <w:t>[1987] AC 189 at 220</w:t>
      </w:r>
    </w:p>
  </w:footnote>
  <w:footnote w:id="30">
    <w:p w:rsidR="000415B4" w:rsidRPr="00AE3D12" w:rsidRDefault="000415B4">
      <w:pPr>
        <w:pStyle w:val="FootnoteText"/>
        <w:rPr>
          <w:rFonts w:ascii="Book Antiqua" w:hAnsi="Book Antiqua"/>
          <w:lang w:val="en-AU"/>
        </w:rPr>
      </w:pPr>
      <w:r w:rsidRPr="00AE3D12">
        <w:rPr>
          <w:rStyle w:val="FootnoteReference"/>
          <w:rFonts w:ascii="Book Antiqua" w:hAnsi="Book Antiqua"/>
          <w:sz w:val="20"/>
          <w:szCs w:val="20"/>
        </w:rPr>
        <w:footnoteRef/>
      </w:r>
      <w:r w:rsidRPr="00AE3D12">
        <w:rPr>
          <w:rFonts w:ascii="Book Antiqua" w:hAnsi="Book Antiqua"/>
          <w:sz w:val="20"/>
          <w:szCs w:val="20"/>
        </w:rPr>
        <w:t xml:space="preserve"> </w:t>
      </w:r>
      <w:r w:rsidRPr="00AE3D12">
        <w:rPr>
          <w:rFonts w:ascii="Book Antiqua" w:hAnsi="Book Antiqua"/>
          <w:i/>
          <w:sz w:val="20"/>
          <w:szCs w:val="20"/>
          <w:lang w:val="en-AU"/>
        </w:rPr>
        <w:t xml:space="preserve">See GSA Industries Pty Ltd v NT Gas Ltd </w:t>
      </w:r>
      <w:r w:rsidRPr="00AE3D12">
        <w:rPr>
          <w:rFonts w:ascii="Book Antiqua" w:hAnsi="Book Antiqua"/>
          <w:sz w:val="20"/>
          <w:szCs w:val="20"/>
          <w:lang w:val="en-AU"/>
        </w:rPr>
        <w:t>(1990) 24 NSWLR 710 at 716 per Samuels JA</w:t>
      </w:r>
    </w:p>
  </w:footnote>
  <w:footnote w:id="31">
    <w:p w:rsidR="000415B4" w:rsidRPr="00AE3D12" w:rsidRDefault="000415B4">
      <w:pPr>
        <w:pStyle w:val="FootnoteText"/>
        <w:rPr>
          <w:rFonts w:ascii="Book Antiqua" w:hAnsi="Book Antiqua"/>
          <w:sz w:val="20"/>
          <w:szCs w:val="20"/>
          <w:lang w:val="en-AU"/>
        </w:rPr>
      </w:pPr>
      <w:r w:rsidRPr="00AE3D12">
        <w:rPr>
          <w:rStyle w:val="FootnoteReference"/>
          <w:rFonts w:ascii="Book Antiqua" w:hAnsi="Book Antiqua"/>
          <w:sz w:val="20"/>
          <w:szCs w:val="20"/>
        </w:rPr>
        <w:footnoteRef/>
      </w:r>
      <w:r w:rsidRPr="00AE3D12">
        <w:rPr>
          <w:rFonts w:ascii="Book Antiqua" w:hAnsi="Book Antiqua"/>
          <w:sz w:val="20"/>
          <w:szCs w:val="20"/>
        </w:rPr>
        <w:t xml:space="preserve"> </w:t>
      </w:r>
      <w:r w:rsidRPr="00AE3D12">
        <w:rPr>
          <w:rFonts w:ascii="Book Antiqua" w:hAnsi="Book Antiqua"/>
          <w:i/>
          <w:sz w:val="20"/>
          <w:szCs w:val="20"/>
          <w:lang w:val="en-AU"/>
        </w:rPr>
        <w:t>Federal Commissioner of Taxation v Brambles Holdings Ltd</w:t>
      </w:r>
      <w:r w:rsidRPr="00AE3D12">
        <w:rPr>
          <w:rFonts w:ascii="Book Antiqua" w:hAnsi="Book Antiqua"/>
          <w:sz w:val="20"/>
          <w:szCs w:val="20"/>
          <w:lang w:val="en-AU"/>
        </w:rPr>
        <w:t xml:space="preserve"> (1991) 28 FCR 451 at 455-456</w:t>
      </w:r>
    </w:p>
  </w:footnote>
  <w:footnote w:id="32">
    <w:p w:rsidR="000415B4" w:rsidRPr="00AE3D12" w:rsidRDefault="000415B4">
      <w:pPr>
        <w:pStyle w:val="FootnoteText"/>
        <w:rPr>
          <w:rFonts w:ascii="Book Antiqua" w:hAnsi="Book Antiqua"/>
          <w:sz w:val="20"/>
          <w:szCs w:val="20"/>
          <w:lang w:val="en-AU"/>
        </w:rPr>
      </w:pPr>
      <w:r w:rsidRPr="00AE3D12">
        <w:rPr>
          <w:rStyle w:val="FootnoteReference"/>
          <w:rFonts w:ascii="Book Antiqua" w:hAnsi="Book Antiqua"/>
          <w:sz w:val="20"/>
          <w:szCs w:val="20"/>
        </w:rPr>
        <w:footnoteRef/>
      </w:r>
      <w:r w:rsidRPr="00AE3D12">
        <w:rPr>
          <w:rFonts w:ascii="Book Antiqua" w:hAnsi="Book Antiqua"/>
          <w:sz w:val="20"/>
          <w:szCs w:val="20"/>
        </w:rPr>
        <w:t xml:space="preserve"> </w:t>
      </w:r>
      <w:r w:rsidRPr="00AE3D12">
        <w:rPr>
          <w:rFonts w:ascii="Book Antiqua" w:hAnsi="Book Antiqua"/>
          <w:i/>
          <w:sz w:val="20"/>
          <w:szCs w:val="20"/>
          <w:lang w:val="en-AU"/>
        </w:rPr>
        <w:t>GSA Industries Pty Ltd v NT Gas Ltd</w:t>
      </w:r>
      <w:r w:rsidRPr="00AE3D12">
        <w:rPr>
          <w:rFonts w:ascii="Book Antiqua" w:hAnsi="Book Antiqua"/>
          <w:sz w:val="20"/>
          <w:szCs w:val="20"/>
          <w:lang w:val="en-AU"/>
        </w:rPr>
        <w:t xml:space="preserve"> (1990) 24 NSWLR 710 at 716</w:t>
      </w:r>
    </w:p>
  </w:footnote>
  <w:footnote w:id="33">
    <w:p w:rsidR="000415B4" w:rsidRPr="00D11DBD" w:rsidRDefault="000415B4" w:rsidP="00917731">
      <w:pPr>
        <w:pStyle w:val="FootnoteText"/>
        <w:rPr>
          <w:sz w:val="20"/>
          <w:szCs w:val="20"/>
          <w:lang w:val="en-AU"/>
        </w:rPr>
      </w:pPr>
      <w:r w:rsidRPr="00D11DBD">
        <w:rPr>
          <w:rStyle w:val="FootnoteReference"/>
          <w:sz w:val="20"/>
          <w:szCs w:val="20"/>
        </w:rPr>
        <w:footnoteRef/>
      </w:r>
      <w:r w:rsidRPr="00D11DBD">
        <w:rPr>
          <w:sz w:val="20"/>
          <w:szCs w:val="20"/>
        </w:rPr>
        <w:t xml:space="preserve"> </w:t>
      </w:r>
      <w:r w:rsidRPr="00D11DBD">
        <w:rPr>
          <w:i/>
          <w:sz w:val="20"/>
          <w:szCs w:val="20"/>
        </w:rPr>
        <w:t xml:space="preserve">Queensland v JL Holdings Pty Ltd </w:t>
      </w:r>
      <w:r w:rsidRPr="00D11DBD">
        <w:rPr>
          <w:sz w:val="20"/>
          <w:szCs w:val="20"/>
        </w:rPr>
        <w:t>(1997) 189 CLR 146</w:t>
      </w:r>
    </w:p>
  </w:footnote>
  <w:footnote w:id="34">
    <w:p w:rsidR="000415B4" w:rsidRPr="00D11DBD" w:rsidRDefault="000415B4" w:rsidP="00F9597C">
      <w:pPr>
        <w:pStyle w:val="FootnoteText"/>
        <w:ind w:left="284" w:hanging="284"/>
        <w:rPr>
          <w:sz w:val="20"/>
          <w:szCs w:val="20"/>
        </w:rPr>
      </w:pPr>
      <w:r w:rsidRPr="00D11DBD">
        <w:rPr>
          <w:rStyle w:val="FootnoteReference"/>
          <w:sz w:val="20"/>
          <w:szCs w:val="20"/>
        </w:rPr>
        <w:footnoteRef/>
      </w:r>
      <w:r w:rsidRPr="00D11DBD">
        <w:rPr>
          <w:sz w:val="20"/>
          <w:szCs w:val="20"/>
        </w:rPr>
        <w:t xml:space="preserve"> See </w:t>
      </w:r>
      <w:r w:rsidRPr="00D11DBD">
        <w:rPr>
          <w:i/>
          <w:sz w:val="20"/>
          <w:szCs w:val="20"/>
        </w:rPr>
        <w:t>John v Federal Commissioner of Taxation</w:t>
      </w:r>
      <w:r w:rsidRPr="00D11DBD">
        <w:rPr>
          <w:sz w:val="20"/>
          <w:szCs w:val="20"/>
        </w:rPr>
        <w:t xml:space="preserve"> (1989) 166 CLR 417; </w:t>
      </w:r>
      <w:r w:rsidRPr="00D11DBD">
        <w:rPr>
          <w:i/>
          <w:sz w:val="20"/>
          <w:szCs w:val="20"/>
        </w:rPr>
        <w:t>Imbree v McNeilly</w:t>
      </w:r>
      <w:r w:rsidRPr="00D11DBD">
        <w:rPr>
          <w:sz w:val="20"/>
          <w:szCs w:val="20"/>
        </w:rPr>
        <w:t>(2008) 236 CLR 510 at 526 [45] per Gummow, Hayne and Kiefel JJ.</w:t>
      </w:r>
    </w:p>
  </w:footnote>
  <w:footnote w:id="35">
    <w:p w:rsidR="000415B4" w:rsidRPr="00616A4C" w:rsidRDefault="000415B4">
      <w:pPr>
        <w:pStyle w:val="FootnoteText"/>
        <w:rPr>
          <w:lang w:val="en-AU"/>
        </w:rPr>
      </w:pPr>
      <w:r w:rsidRPr="00D11DBD">
        <w:rPr>
          <w:rStyle w:val="FootnoteReference"/>
          <w:sz w:val="20"/>
          <w:szCs w:val="20"/>
        </w:rPr>
        <w:footnoteRef/>
      </w:r>
      <w:r w:rsidRPr="00D11DBD">
        <w:rPr>
          <w:sz w:val="20"/>
          <w:szCs w:val="20"/>
        </w:rPr>
        <w:t xml:space="preserve"> </w:t>
      </w:r>
      <w:r w:rsidRPr="00D11DBD">
        <w:rPr>
          <w:rFonts w:ascii="Book Antiqua" w:hAnsi="Book Antiqua"/>
          <w:i/>
          <w:sz w:val="20"/>
          <w:szCs w:val="20"/>
        </w:rPr>
        <w:t xml:space="preserve">Black &amp; Decker (Australasia) Pty Ltd v GMCA Pty Ltd </w:t>
      </w:r>
      <w:r w:rsidRPr="00D11DBD">
        <w:rPr>
          <w:rFonts w:ascii="Book Antiqua" w:hAnsi="Book Antiqua"/>
          <w:sz w:val="20"/>
          <w:szCs w:val="20"/>
        </w:rPr>
        <w:t>[2007] FC 1623</w:t>
      </w:r>
    </w:p>
  </w:footnote>
  <w:footnote w:id="36">
    <w:p w:rsidR="000415B4" w:rsidRPr="00D11DBD" w:rsidRDefault="000415B4" w:rsidP="000E64B2">
      <w:pPr>
        <w:pStyle w:val="FootnoteText"/>
        <w:ind w:left="142"/>
        <w:rPr>
          <w:rFonts w:ascii="Book Antiqua" w:hAnsi="Book Antiqua"/>
          <w:b/>
          <w:sz w:val="20"/>
          <w:szCs w:val="20"/>
        </w:rPr>
      </w:pPr>
      <w:r w:rsidRPr="00D11DBD">
        <w:rPr>
          <w:rStyle w:val="FootnoteReference"/>
          <w:rFonts w:ascii="Book Antiqua" w:hAnsi="Book Antiqua"/>
          <w:sz w:val="20"/>
          <w:szCs w:val="20"/>
        </w:rPr>
        <w:footnoteRef/>
      </w:r>
      <w:r>
        <w:rPr>
          <w:rFonts w:ascii="Book Antiqua" w:hAnsi="Book Antiqua"/>
          <w:sz w:val="20"/>
          <w:szCs w:val="20"/>
        </w:rPr>
        <w:t xml:space="preserve"> </w:t>
      </w:r>
      <w:r w:rsidRPr="00D11DBD">
        <w:rPr>
          <w:rFonts w:ascii="Book Antiqua" w:hAnsi="Book Antiqua"/>
          <w:sz w:val="20"/>
          <w:szCs w:val="20"/>
        </w:rPr>
        <w:t>A.A.S. Zuckerman, “Reform in the Shadow of Lawyers’ Interests” in A.A.S. Zuckerman</w:t>
      </w:r>
      <w:r w:rsidRPr="00D11DBD" w:rsidDel="0002117D">
        <w:rPr>
          <w:rFonts w:ascii="Book Antiqua" w:hAnsi="Book Antiqua"/>
          <w:sz w:val="20"/>
          <w:szCs w:val="20"/>
        </w:rPr>
        <w:t xml:space="preserve"> </w:t>
      </w:r>
      <w:r>
        <w:rPr>
          <w:rFonts w:ascii="Book Antiqua" w:hAnsi="Book Antiqua"/>
          <w:sz w:val="20"/>
          <w:szCs w:val="20"/>
        </w:rPr>
        <w:t xml:space="preserve">and Ross </w:t>
      </w:r>
      <w:r w:rsidRPr="00D11DBD">
        <w:rPr>
          <w:rFonts w:ascii="Book Antiqua" w:hAnsi="Book Antiqua"/>
          <w:sz w:val="20"/>
          <w:szCs w:val="20"/>
        </w:rPr>
        <w:t>Cranston (eds),</w:t>
      </w:r>
      <w:r w:rsidRPr="00D11DBD">
        <w:rPr>
          <w:rFonts w:ascii="Book Antiqua" w:hAnsi="Book Antiqua"/>
          <w:i/>
          <w:sz w:val="20"/>
          <w:szCs w:val="20"/>
        </w:rPr>
        <w:t xml:space="preserve"> Reform of Civil Procedure – Essays on ‘Access to Justice”</w:t>
      </w:r>
      <w:r w:rsidRPr="00D11DBD">
        <w:rPr>
          <w:rFonts w:ascii="Book Antiqua" w:hAnsi="Book Antiqua"/>
          <w:sz w:val="20"/>
          <w:szCs w:val="20"/>
        </w:rPr>
        <w:t xml:space="preserve"> (Clarendon Press, 1995) 61, 73-76.</w:t>
      </w:r>
    </w:p>
  </w:footnote>
  <w:footnote w:id="37">
    <w:p w:rsidR="000415B4" w:rsidRPr="00D11DBD" w:rsidRDefault="000415B4" w:rsidP="000E64B2">
      <w:pPr>
        <w:ind w:left="142"/>
        <w:rPr>
          <w:rFonts w:ascii="Book Antiqua" w:hAnsi="Book Antiqua"/>
          <w:sz w:val="20"/>
          <w:szCs w:val="20"/>
        </w:rPr>
      </w:pPr>
      <w:r w:rsidRPr="00D11DBD">
        <w:rPr>
          <w:rStyle w:val="FootnoteReference"/>
          <w:rFonts w:ascii="Book Antiqua" w:hAnsi="Book Antiqua"/>
          <w:sz w:val="20"/>
          <w:szCs w:val="20"/>
        </w:rPr>
        <w:footnoteRef/>
      </w:r>
      <w:r>
        <w:rPr>
          <w:rFonts w:ascii="Book Antiqua" w:hAnsi="Book Antiqua"/>
          <w:sz w:val="20"/>
          <w:szCs w:val="20"/>
        </w:rPr>
        <w:t xml:space="preserve"> </w:t>
      </w:r>
      <w:r w:rsidRPr="00D11DBD">
        <w:rPr>
          <w:rFonts w:ascii="Book Antiqua" w:hAnsi="Book Antiqua"/>
          <w:sz w:val="20"/>
          <w:szCs w:val="20"/>
        </w:rPr>
        <w:t xml:space="preserve">Lord Woolf, </w:t>
      </w:r>
      <w:r w:rsidRPr="00D11DBD">
        <w:rPr>
          <w:rFonts w:ascii="Book Antiqua" w:hAnsi="Book Antiqua"/>
          <w:i/>
          <w:sz w:val="20"/>
          <w:szCs w:val="20"/>
        </w:rPr>
        <w:t>Access to Justice: Final Report to the Lord Chancellor on the Civil Justice System in England and Wales</w:t>
      </w:r>
      <w:r w:rsidRPr="00D11DBD">
        <w:rPr>
          <w:rFonts w:ascii="Book Antiqua" w:hAnsi="Book Antiqua"/>
          <w:sz w:val="20"/>
          <w:szCs w:val="20"/>
        </w:rPr>
        <w:t xml:space="preserve"> (1996).</w:t>
      </w:r>
    </w:p>
  </w:footnote>
  <w:footnote w:id="38">
    <w:p w:rsidR="000415B4" w:rsidRPr="00681E25" w:rsidRDefault="000415B4" w:rsidP="000E64B2">
      <w:pPr>
        <w:pStyle w:val="FootnoteText"/>
        <w:ind w:left="142"/>
        <w:rPr>
          <w:b/>
        </w:rPr>
      </w:pPr>
      <w:r w:rsidRPr="00D11DBD">
        <w:rPr>
          <w:rStyle w:val="FootnoteReference"/>
          <w:rFonts w:ascii="Book Antiqua" w:hAnsi="Book Antiqua"/>
          <w:sz w:val="20"/>
          <w:szCs w:val="20"/>
        </w:rPr>
        <w:footnoteRef/>
      </w:r>
      <w:r>
        <w:rPr>
          <w:rFonts w:ascii="Book Antiqua" w:hAnsi="Book Antiqua"/>
          <w:sz w:val="20"/>
          <w:szCs w:val="20"/>
        </w:rPr>
        <w:t xml:space="preserve"> </w:t>
      </w:r>
      <w:r w:rsidRPr="00D11DBD">
        <w:rPr>
          <w:rFonts w:ascii="Book Antiqua" w:hAnsi="Book Antiqua"/>
          <w:sz w:val="20"/>
          <w:szCs w:val="20"/>
        </w:rPr>
        <w:t>Adrian Zuckerman, “Litigation Management under the CPR: A Poorly-used Management Infrastructure” in Deirdre Dwyer</w:t>
      </w:r>
      <w:r w:rsidRPr="00D11DBD" w:rsidDel="004F64EE">
        <w:rPr>
          <w:rFonts w:ascii="Book Antiqua" w:hAnsi="Book Antiqua"/>
          <w:sz w:val="20"/>
          <w:szCs w:val="20"/>
        </w:rPr>
        <w:t xml:space="preserve"> </w:t>
      </w:r>
      <w:r w:rsidRPr="00D11DBD">
        <w:rPr>
          <w:rFonts w:ascii="Book Antiqua" w:hAnsi="Book Antiqua"/>
          <w:sz w:val="20"/>
          <w:szCs w:val="20"/>
        </w:rPr>
        <w:t xml:space="preserve">(ed), </w:t>
      </w:r>
      <w:r w:rsidRPr="00D11DBD">
        <w:rPr>
          <w:rFonts w:ascii="Book Antiqua" w:hAnsi="Book Antiqua"/>
          <w:i/>
          <w:sz w:val="20"/>
          <w:szCs w:val="20"/>
        </w:rPr>
        <w:t>The Civil Procedure Rules Ten Years On</w:t>
      </w:r>
      <w:r w:rsidRPr="00D11DBD">
        <w:rPr>
          <w:rFonts w:ascii="Book Antiqua" w:hAnsi="Book Antiqua"/>
          <w:sz w:val="20"/>
          <w:szCs w:val="20"/>
        </w:rPr>
        <w:t xml:space="preserve"> (Oxford University Press, 2009) 89, 102.</w:t>
      </w:r>
    </w:p>
  </w:footnote>
  <w:footnote w:id="39">
    <w:p w:rsidR="000415B4" w:rsidRPr="00D11DBD" w:rsidRDefault="000415B4" w:rsidP="000E64B2">
      <w:pPr>
        <w:pStyle w:val="FootnoteText"/>
        <w:ind w:left="142"/>
        <w:rPr>
          <w:rFonts w:ascii="Book Antiqua" w:hAnsi="Book Antiqua"/>
          <w:b/>
          <w:sz w:val="20"/>
          <w:szCs w:val="20"/>
        </w:rPr>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i/>
          <w:sz w:val="20"/>
          <w:szCs w:val="20"/>
        </w:rPr>
        <w:t xml:space="preserve">Aon Risk Services v Australian National University </w:t>
      </w:r>
      <w:r w:rsidRPr="00D11DBD">
        <w:rPr>
          <w:rFonts w:ascii="Book Antiqua" w:hAnsi="Book Antiqua"/>
          <w:sz w:val="20"/>
          <w:szCs w:val="20"/>
        </w:rPr>
        <w:t>(2009) 239 CLR 175 at 217.</w:t>
      </w:r>
    </w:p>
  </w:footnote>
  <w:footnote w:id="40">
    <w:p w:rsidR="000415B4" w:rsidRPr="00D11DBD" w:rsidRDefault="000415B4">
      <w:pPr>
        <w:pStyle w:val="FootnoteText"/>
        <w:rPr>
          <w:rFonts w:ascii="Book Antiqua" w:hAnsi="Book Antiqua"/>
          <w:sz w:val="20"/>
          <w:szCs w:val="20"/>
        </w:rPr>
      </w:pPr>
      <w:r w:rsidRPr="00D11DBD">
        <w:rPr>
          <w:rStyle w:val="FootnoteReference"/>
          <w:rFonts w:ascii="Book Antiqua" w:hAnsi="Book Antiqua"/>
          <w:sz w:val="20"/>
          <w:szCs w:val="20"/>
        </w:rPr>
        <w:footnoteRef/>
      </w:r>
      <w:r w:rsidRPr="00D11DBD">
        <w:rPr>
          <w:rFonts w:ascii="Book Antiqua" w:hAnsi="Book Antiqua"/>
          <w:sz w:val="20"/>
          <w:szCs w:val="20"/>
        </w:rPr>
        <w:t xml:space="preserve"> The Hon. Ronald Sackville AO, “The future of case management in litigation”, (2009) 18 </w:t>
      </w:r>
      <w:r w:rsidRPr="00D11DBD">
        <w:rPr>
          <w:rFonts w:ascii="Book Antiqua" w:hAnsi="Book Antiqua"/>
          <w:i/>
          <w:sz w:val="20"/>
          <w:szCs w:val="20"/>
        </w:rPr>
        <w:t>Journal of Judicial Administration</w:t>
      </w:r>
      <w:r w:rsidRPr="00D11DBD">
        <w:rPr>
          <w:rFonts w:ascii="Book Antiqua" w:hAnsi="Book Antiqua"/>
          <w:sz w:val="20"/>
          <w:szCs w:val="20"/>
        </w:rPr>
        <w:t xml:space="preserve"> 211, 217</w:t>
      </w:r>
    </w:p>
  </w:footnote>
  <w:footnote w:id="41">
    <w:p w:rsidR="000415B4" w:rsidRDefault="000415B4">
      <w:pPr>
        <w:pStyle w:val="FootnoteText"/>
      </w:pPr>
      <w:r w:rsidRPr="00D11DBD">
        <w:rPr>
          <w:rStyle w:val="FootnoteReference"/>
          <w:rFonts w:ascii="Book Antiqua" w:hAnsi="Book Antiqua"/>
          <w:sz w:val="20"/>
          <w:szCs w:val="20"/>
        </w:rPr>
        <w:footnoteRef/>
      </w:r>
      <w:r w:rsidRPr="00D11DBD">
        <w:rPr>
          <w:rFonts w:ascii="Book Antiqua" w:hAnsi="Book Antiqua"/>
          <w:sz w:val="20"/>
          <w:szCs w:val="20"/>
        </w:rPr>
        <w:t xml:space="preserve"> Chief Justice Black (as his Honour then was), “The role of the judge in attacking endemic delays: Some lessons from Fast Track” (2009) 19 </w:t>
      </w:r>
      <w:r w:rsidRPr="00D11DBD">
        <w:rPr>
          <w:rFonts w:ascii="Book Antiqua" w:hAnsi="Book Antiqua"/>
          <w:i/>
          <w:sz w:val="20"/>
          <w:szCs w:val="20"/>
        </w:rPr>
        <w:t>Journal of Judicial Administration</w:t>
      </w:r>
      <w:r w:rsidRPr="00D11DBD">
        <w:rPr>
          <w:rFonts w:ascii="Book Antiqua" w:hAnsi="Book Antiqua"/>
          <w:sz w:val="20"/>
          <w:szCs w:val="20"/>
        </w:rPr>
        <w:t xml:space="preserve"> 88, 92-2</w:t>
      </w:r>
    </w:p>
  </w:footnote>
  <w:footnote w:id="42">
    <w:p w:rsidR="000415B4" w:rsidRPr="00D11DBD" w:rsidRDefault="000415B4" w:rsidP="007852C7">
      <w:pPr>
        <w:pStyle w:val="FootnoteText"/>
        <w:rPr>
          <w:rFonts w:ascii="Book Antiqua" w:hAnsi="Book Antiqua"/>
          <w:sz w:val="20"/>
          <w:szCs w:val="20"/>
          <w:lang w:val="en-AU"/>
        </w:rPr>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sz w:val="20"/>
          <w:szCs w:val="20"/>
          <w:lang w:val="en-AU"/>
        </w:rPr>
        <w:t xml:space="preserve">Explanatory Memorandum, </w:t>
      </w:r>
      <w:r w:rsidRPr="00D11DBD">
        <w:rPr>
          <w:rFonts w:ascii="Book Antiqua" w:hAnsi="Book Antiqua"/>
          <w:i/>
          <w:sz w:val="20"/>
          <w:szCs w:val="20"/>
          <w:lang w:val="en-AU"/>
        </w:rPr>
        <w:t>Civil Procedure Bill</w:t>
      </w:r>
      <w:r w:rsidRPr="00D11DBD">
        <w:rPr>
          <w:rFonts w:ascii="Book Antiqua" w:hAnsi="Book Antiqua"/>
          <w:sz w:val="20"/>
          <w:szCs w:val="20"/>
          <w:lang w:val="en-AU"/>
        </w:rPr>
        <w:t xml:space="preserve">  2010 (Vic), 1</w:t>
      </w:r>
    </w:p>
  </w:footnote>
  <w:footnote w:id="43">
    <w:p w:rsidR="000415B4" w:rsidRPr="00D11DBD" w:rsidRDefault="000415B4">
      <w:pPr>
        <w:pStyle w:val="FootnoteText"/>
        <w:rPr>
          <w:rFonts w:ascii="Book Antiqua" w:hAnsi="Book Antiqua"/>
          <w:sz w:val="20"/>
          <w:szCs w:val="20"/>
          <w:lang w:val="en-AU"/>
        </w:rPr>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sz w:val="20"/>
          <w:szCs w:val="20"/>
          <w:lang w:val="en-AU"/>
        </w:rPr>
        <w:t xml:space="preserve">Attorney-General’s Justice Statement: </w:t>
      </w:r>
      <w:r w:rsidRPr="00D11DBD">
        <w:rPr>
          <w:rFonts w:ascii="Book Antiqua" w:hAnsi="Book Antiqua"/>
          <w:i/>
          <w:sz w:val="20"/>
          <w:szCs w:val="20"/>
          <w:lang w:val="en-AU"/>
        </w:rPr>
        <w:t xml:space="preserve">New Directions for the Victorian Justice System 2004-2014, </w:t>
      </w:r>
      <w:r w:rsidRPr="00D11DBD">
        <w:rPr>
          <w:rFonts w:ascii="Book Antiqua" w:hAnsi="Book Antiqua"/>
          <w:sz w:val="20"/>
          <w:szCs w:val="20"/>
          <w:lang w:val="en-AU"/>
        </w:rPr>
        <w:t>Department of Justice, Victoria, 2004.</w:t>
      </w:r>
    </w:p>
  </w:footnote>
  <w:footnote w:id="44">
    <w:p w:rsidR="000415B4" w:rsidRPr="00D11DBD" w:rsidRDefault="000415B4">
      <w:pPr>
        <w:pStyle w:val="FootnoteText"/>
        <w:rPr>
          <w:rFonts w:ascii="Book Antiqua" w:hAnsi="Book Antiqua"/>
          <w:sz w:val="20"/>
          <w:szCs w:val="20"/>
          <w:lang w:val="en-AU"/>
        </w:rPr>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i/>
          <w:sz w:val="20"/>
          <w:szCs w:val="20"/>
          <w:lang w:val="en-AU"/>
        </w:rPr>
        <w:t>VLRC Review</w:t>
      </w:r>
      <w:r w:rsidRPr="00D11DBD">
        <w:rPr>
          <w:rFonts w:ascii="Book Antiqua" w:hAnsi="Book Antiqua"/>
          <w:sz w:val="20"/>
          <w:szCs w:val="20"/>
          <w:lang w:val="en-AU"/>
        </w:rPr>
        <w:t>, page 51</w:t>
      </w:r>
    </w:p>
  </w:footnote>
  <w:footnote w:id="45">
    <w:p w:rsidR="000415B4" w:rsidRPr="00D11DBD" w:rsidRDefault="000415B4">
      <w:pPr>
        <w:pStyle w:val="FootnoteText"/>
        <w:rPr>
          <w:rFonts w:ascii="Book Antiqua" w:hAnsi="Book Antiqua"/>
          <w:sz w:val="20"/>
          <w:szCs w:val="20"/>
          <w:lang w:val="en-AU"/>
        </w:rPr>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sz w:val="20"/>
          <w:szCs w:val="20"/>
          <w:lang w:val="en-AU"/>
        </w:rPr>
        <w:t xml:space="preserve">Lord Woolf, </w:t>
      </w:r>
      <w:r w:rsidRPr="00D11DBD">
        <w:rPr>
          <w:rFonts w:ascii="Book Antiqua" w:hAnsi="Book Antiqua"/>
          <w:i/>
          <w:sz w:val="20"/>
          <w:szCs w:val="20"/>
          <w:lang w:val="en-AU"/>
        </w:rPr>
        <w:t>Access to Justice: Interim Report to the Lord Chancellor on the Civil Justice System in England and Wales</w:t>
      </w:r>
      <w:r w:rsidRPr="00D11DBD">
        <w:rPr>
          <w:rFonts w:ascii="Book Antiqua" w:hAnsi="Book Antiqua"/>
          <w:sz w:val="20"/>
          <w:szCs w:val="20"/>
          <w:lang w:val="en-AU"/>
        </w:rPr>
        <w:t xml:space="preserve"> (1995).</w:t>
      </w:r>
    </w:p>
  </w:footnote>
  <w:footnote w:id="46">
    <w:p w:rsidR="000415B4" w:rsidRPr="00D11DBD" w:rsidRDefault="000415B4" w:rsidP="007852C7">
      <w:pPr>
        <w:pStyle w:val="FootnoteText"/>
        <w:rPr>
          <w:rFonts w:ascii="Book Antiqua" w:hAnsi="Book Antiqua"/>
          <w:sz w:val="20"/>
          <w:szCs w:val="20"/>
          <w:lang w:val="en-AU"/>
        </w:rPr>
      </w:pPr>
      <w:r w:rsidRPr="00D11DBD">
        <w:rPr>
          <w:rStyle w:val="FootnoteReference"/>
          <w:rFonts w:ascii="Book Antiqua" w:hAnsi="Book Antiqua"/>
          <w:sz w:val="20"/>
          <w:szCs w:val="20"/>
        </w:rPr>
        <w:footnoteRef/>
      </w:r>
      <w:r w:rsidRPr="00D11DBD">
        <w:rPr>
          <w:rFonts w:ascii="Book Antiqua" w:hAnsi="Book Antiqua"/>
          <w:sz w:val="20"/>
          <w:szCs w:val="20"/>
        </w:rPr>
        <w:t>Lord</w:t>
      </w:r>
      <w:r w:rsidRPr="00D11DBD">
        <w:rPr>
          <w:rFonts w:ascii="Book Antiqua" w:hAnsi="Book Antiqua"/>
          <w:sz w:val="20"/>
          <w:szCs w:val="20"/>
          <w:lang w:val="en-AU"/>
        </w:rPr>
        <w:t xml:space="preserve"> Woolf, </w:t>
      </w:r>
      <w:r w:rsidRPr="00D11DBD">
        <w:rPr>
          <w:rFonts w:ascii="Book Antiqua" w:hAnsi="Book Antiqua"/>
          <w:i/>
          <w:sz w:val="20"/>
          <w:szCs w:val="20"/>
          <w:lang w:val="en-AU"/>
        </w:rPr>
        <w:t>Access to Justice: Interim Report to the Lord Chancellor on the Civil Justice System in England and Wales (</w:t>
      </w:r>
      <w:r w:rsidRPr="00D11DBD">
        <w:rPr>
          <w:rFonts w:ascii="Book Antiqua" w:hAnsi="Book Antiqua"/>
          <w:sz w:val="20"/>
          <w:szCs w:val="20"/>
          <w:lang w:val="en-AU"/>
        </w:rPr>
        <w:t>1995), 13.</w:t>
      </w:r>
    </w:p>
  </w:footnote>
  <w:footnote w:id="47">
    <w:p w:rsidR="000415B4" w:rsidRPr="00D27522" w:rsidRDefault="000415B4">
      <w:pPr>
        <w:pStyle w:val="FootnoteText"/>
        <w:rPr>
          <w:lang w:val="en-AU"/>
        </w:rPr>
      </w:pPr>
      <w:r w:rsidRPr="00D11DBD">
        <w:rPr>
          <w:rStyle w:val="FootnoteReference"/>
          <w:rFonts w:ascii="Book Antiqua" w:hAnsi="Book Antiqua"/>
          <w:sz w:val="20"/>
          <w:szCs w:val="20"/>
        </w:rPr>
        <w:footnoteRef/>
      </w:r>
      <w:r>
        <w:t xml:space="preserve"> </w:t>
      </w:r>
      <w:r w:rsidRPr="00D11DBD">
        <w:rPr>
          <w:rFonts w:ascii="Book Antiqua" w:hAnsi="Book Antiqua"/>
          <w:sz w:val="20"/>
          <w:szCs w:val="20"/>
        </w:rPr>
        <w:t>Lord</w:t>
      </w:r>
      <w:r w:rsidRPr="00D11DBD">
        <w:rPr>
          <w:rFonts w:ascii="Book Antiqua" w:hAnsi="Book Antiqua"/>
          <w:sz w:val="20"/>
          <w:szCs w:val="20"/>
          <w:lang w:val="en-AU"/>
        </w:rPr>
        <w:t xml:space="preserve"> Woolf, </w:t>
      </w:r>
      <w:r w:rsidRPr="00D11DBD">
        <w:rPr>
          <w:rFonts w:ascii="Book Antiqua" w:hAnsi="Book Antiqua"/>
          <w:i/>
          <w:sz w:val="20"/>
          <w:szCs w:val="20"/>
          <w:lang w:val="en-AU"/>
        </w:rPr>
        <w:t>Access to Justice: Interim Report to the Lord Chancellor on the Civil Justice System in England and Wales (</w:t>
      </w:r>
      <w:r w:rsidRPr="00D11DBD">
        <w:rPr>
          <w:rFonts w:ascii="Book Antiqua" w:hAnsi="Book Antiqua"/>
          <w:sz w:val="20"/>
          <w:szCs w:val="20"/>
          <w:lang w:val="en-AU"/>
        </w:rPr>
        <w:t>1995), 13.</w:t>
      </w:r>
    </w:p>
  </w:footnote>
  <w:footnote w:id="48">
    <w:p w:rsidR="000415B4" w:rsidRPr="00043CB7" w:rsidRDefault="000415B4" w:rsidP="0022424B">
      <w:pPr>
        <w:pStyle w:val="FootnoteText"/>
        <w:rPr>
          <w:rFonts w:ascii="Book Antiqua" w:hAnsi="Book Antiqua"/>
          <w:sz w:val="20"/>
          <w:szCs w:val="20"/>
        </w:rPr>
      </w:pPr>
      <w:r w:rsidRPr="00043CB7">
        <w:rPr>
          <w:rStyle w:val="FootnoteReference"/>
          <w:rFonts w:ascii="Book Antiqua" w:hAnsi="Book Antiqua"/>
          <w:sz w:val="20"/>
          <w:szCs w:val="20"/>
        </w:rPr>
        <w:footnoteRef/>
      </w:r>
      <w:r w:rsidRPr="00043CB7">
        <w:rPr>
          <w:rFonts w:ascii="Book Antiqua" w:hAnsi="Book Antiqua"/>
          <w:sz w:val="20"/>
          <w:szCs w:val="20"/>
        </w:rPr>
        <w:t xml:space="preserve"> </w:t>
      </w:r>
      <w:r w:rsidRPr="00043CB7">
        <w:rPr>
          <w:rFonts w:ascii="Book Antiqua" w:hAnsi="Book Antiqua"/>
          <w:i/>
          <w:sz w:val="20"/>
          <w:szCs w:val="20"/>
        </w:rPr>
        <w:t xml:space="preserve">Civil Procedure Act </w:t>
      </w:r>
      <w:r w:rsidRPr="00043CB7">
        <w:rPr>
          <w:rFonts w:ascii="Book Antiqua" w:hAnsi="Book Antiqua"/>
          <w:sz w:val="20"/>
          <w:szCs w:val="20"/>
        </w:rPr>
        <w:t>2010</w:t>
      </w:r>
      <w:r w:rsidRPr="00043CB7">
        <w:rPr>
          <w:rFonts w:ascii="Book Antiqua" w:hAnsi="Book Antiqua"/>
          <w:i/>
          <w:sz w:val="20"/>
          <w:szCs w:val="20"/>
        </w:rPr>
        <w:t>,</w:t>
      </w:r>
      <w:r w:rsidRPr="00043CB7">
        <w:rPr>
          <w:rFonts w:ascii="Book Antiqua" w:hAnsi="Book Antiqua"/>
          <w:sz w:val="20"/>
          <w:szCs w:val="20"/>
        </w:rPr>
        <w:t xml:space="preserve"> section 16.</w:t>
      </w:r>
    </w:p>
  </w:footnote>
  <w:footnote w:id="49">
    <w:p w:rsidR="000415B4" w:rsidRPr="00043CB7" w:rsidRDefault="000415B4">
      <w:pPr>
        <w:pStyle w:val="FootnoteText"/>
        <w:rPr>
          <w:rFonts w:ascii="Book Antiqua" w:hAnsi="Book Antiqua"/>
          <w:sz w:val="20"/>
          <w:szCs w:val="20"/>
        </w:rPr>
      </w:pPr>
      <w:r w:rsidRPr="00043CB7">
        <w:rPr>
          <w:rStyle w:val="FootnoteReference"/>
          <w:rFonts w:ascii="Book Antiqua" w:hAnsi="Book Antiqua"/>
          <w:sz w:val="20"/>
          <w:szCs w:val="20"/>
        </w:rPr>
        <w:footnoteRef/>
      </w:r>
      <w:r w:rsidRPr="00043CB7">
        <w:rPr>
          <w:rFonts w:ascii="Book Antiqua" w:hAnsi="Book Antiqua"/>
          <w:sz w:val="20"/>
          <w:szCs w:val="20"/>
        </w:rPr>
        <w:t xml:space="preserve"> </w:t>
      </w:r>
      <w:r w:rsidRPr="00043CB7">
        <w:rPr>
          <w:rFonts w:ascii="Book Antiqua" w:hAnsi="Book Antiqua"/>
          <w:sz w:val="20"/>
          <w:szCs w:val="20"/>
          <w:lang w:val="en-AU"/>
        </w:rPr>
        <w:t>Ipp J, ‘</w:t>
      </w:r>
      <w:r w:rsidRPr="00043CB7">
        <w:rPr>
          <w:rFonts w:ascii="Book Antiqua" w:hAnsi="Book Antiqua"/>
          <w:i/>
          <w:sz w:val="20"/>
          <w:szCs w:val="20"/>
          <w:lang w:val="en-AU"/>
        </w:rPr>
        <w:t>Lawyers’ Duties to the Court</w:t>
      </w:r>
      <w:r w:rsidRPr="00043CB7">
        <w:rPr>
          <w:rFonts w:ascii="Book Antiqua" w:hAnsi="Book Antiqua"/>
          <w:sz w:val="20"/>
          <w:szCs w:val="20"/>
          <w:lang w:val="en-AU"/>
        </w:rPr>
        <w:t>’ (1998) 114 Law Quarterly Review 63, 69</w:t>
      </w:r>
    </w:p>
  </w:footnote>
  <w:footnote w:id="50">
    <w:p w:rsidR="000415B4" w:rsidRPr="005213F9" w:rsidRDefault="000415B4">
      <w:pPr>
        <w:pStyle w:val="FootnoteText"/>
        <w:rPr>
          <w:lang w:val="en-AU"/>
        </w:rPr>
      </w:pPr>
      <w:r w:rsidRPr="00043CB7">
        <w:rPr>
          <w:rStyle w:val="FootnoteReference"/>
          <w:rFonts w:ascii="Book Antiqua" w:hAnsi="Book Antiqua"/>
          <w:sz w:val="20"/>
          <w:szCs w:val="20"/>
        </w:rPr>
        <w:footnoteRef/>
      </w:r>
      <w:r w:rsidRPr="00043CB7">
        <w:rPr>
          <w:rFonts w:ascii="Book Antiqua" w:hAnsi="Book Antiqua"/>
          <w:sz w:val="20"/>
          <w:szCs w:val="20"/>
        </w:rPr>
        <w:t xml:space="preserve"> Sir Anthony Mason, “The Role  of the Courts at the Turn of the Century” (1993) </w:t>
      </w:r>
      <w:r w:rsidRPr="00043CB7">
        <w:rPr>
          <w:rFonts w:ascii="Book Antiqua" w:hAnsi="Book Antiqua"/>
          <w:i/>
          <w:sz w:val="20"/>
          <w:szCs w:val="20"/>
        </w:rPr>
        <w:t>J.J.A</w:t>
      </w:r>
      <w:r w:rsidRPr="00043CB7">
        <w:rPr>
          <w:rFonts w:ascii="Book Antiqua" w:hAnsi="Book Antiqua"/>
          <w:sz w:val="20"/>
          <w:szCs w:val="20"/>
        </w:rPr>
        <w:t xml:space="preserve">. 156 at 165 referred to in </w:t>
      </w:r>
      <w:r w:rsidRPr="00043CB7">
        <w:rPr>
          <w:rFonts w:ascii="Book Antiqua" w:hAnsi="Book Antiqua"/>
          <w:sz w:val="20"/>
          <w:szCs w:val="20"/>
          <w:lang w:val="en-AU"/>
        </w:rPr>
        <w:t>Ipp J, ‘</w:t>
      </w:r>
      <w:r w:rsidRPr="00043CB7">
        <w:rPr>
          <w:rFonts w:ascii="Book Antiqua" w:hAnsi="Book Antiqua"/>
          <w:i/>
          <w:sz w:val="20"/>
          <w:szCs w:val="20"/>
          <w:lang w:val="en-AU"/>
        </w:rPr>
        <w:t>Lawyers’ Duties to the Court</w:t>
      </w:r>
      <w:r w:rsidRPr="00043CB7">
        <w:rPr>
          <w:rFonts w:ascii="Book Antiqua" w:hAnsi="Book Antiqua"/>
          <w:sz w:val="20"/>
          <w:szCs w:val="20"/>
          <w:lang w:val="en-AU"/>
        </w:rPr>
        <w:t>’ (1998) 114 Law Quarterly Review 63, 69</w:t>
      </w:r>
    </w:p>
  </w:footnote>
  <w:footnote w:id="51">
    <w:p w:rsidR="000415B4" w:rsidRPr="002072FF" w:rsidRDefault="000415B4">
      <w:pPr>
        <w:pStyle w:val="FootnoteText"/>
        <w:rPr>
          <w:rFonts w:ascii="Book Antiqua" w:hAnsi="Book Antiqua"/>
          <w:sz w:val="20"/>
          <w:szCs w:val="20"/>
          <w:lang w:val="en-AU"/>
        </w:rPr>
      </w:pPr>
      <w:r w:rsidRPr="002072FF">
        <w:rPr>
          <w:rStyle w:val="FootnoteReference"/>
          <w:rFonts w:ascii="Book Antiqua" w:hAnsi="Book Antiqua"/>
          <w:sz w:val="20"/>
          <w:szCs w:val="20"/>
        </w:rPr>
        <w:footnoteRef/>
      </w:r>
      <w:r w:rsidRPr="002072FF">
        <w:rPr>
          <w:rFonts w:ascii="Book Antiqua" w:hAnsi="Book Antiqua"/>
          <w:sz w:val="20"/>
          <w:szCs w:val="20"/>
        </w:rPr>
        <w:t xml:space="preserve"> </w:t>
      </w:r>
      <w:r w:rsidRPr="002072FF">
        <w:rPr>
          <w:rFonts w:ascii="Book Antiqua" w:hAnsi="Book Antiqua"/>
          <w:sz w:val="20"/>
          <w:szCs w:val="20"/>
          <w:lang w:val="en-AU"/>
        </w:rPr>
        <w:t>Ipp J, ‘</w:t>
      </w:r>
      <w:r w:rsidRPr="002072FF">
        <w:rPr>
          <w:rFonts w:ascii="Book Antiqua" w:hAnsi="Book Antiqua"/>
          <w:i/>
          <w:sz w:val="20"/>
          <w:szCs w:val="20"/>
          <w:lang w:val="en-AU"/>
        </w:rPr>
        <w:t>Lawyers’ Duties to the Court</w:t>
      </w:r>
      <w:r w:rsidRPr="002072FF">
        <w:rPr>
          <w:rFonts w:ascii="Book Antiqua" w:hAnsi="Book Antiqua"/>
          <w:sz w:val="20"/>
          <w:szCs w:val="20"/>
          <w:lang w:val="en-AU"/>
        </w:rPr>
        <w:t>’ (1998) 114 Law Quarterly Review 6365</w:t>
      </w:r>
    </w:p>
  </w:footnote>
  <w:footnote w:id="52">
    <w:p w:rsidR="000415B4" w:rsidRPr="002072FF" w:rsidRDefault="000415B4" w:rsidP="0022424B">
      <w:pPr>
        <w:pStyle w:val="FootnoteText"/>
        <w:rPr>
          <w:rFonts w:ascii="Book Antiqua" w:hAnsi="Book Antiqua"/>
          <w:sz w:val="20"/>
          <w:szCs w:val="20"/>
        </w:rPr>
      </w:pPr>
      <w:r w:rsidRPr="002072FF">
        <w:rPr>
          <w:rStyle w:val="FootnoteReference"/>
          <w:rFonts w:ascii="Book Antiqua" w:hAnsi="Book Antiqua"/>
          <w:sz w:val="20"/>
          <w:szCs w:val="20"/>
        </w:rPr>
        <w:footnoteRef/>
      </w:r>
      <w:r w:rsidRPr="002072FF">
        <w:rPr>
          <w:rFonts w:ascii="Book Antiqua" w:hAnsi="Book Antiqua"/>
          <w:sz w:val="20"/>
          <w:szCs w:val="20"/>
        </w:rPr>
        <w:t xml:space="preserve"> </w:t>
      </w:r>
      <w:r w:rsidRPr="002072FF">
        <w:rPr>
          <w:rFonts w:ascii="Book Antiqua" w:hAnsi="Book Antiqua"/>
          <w:i/>
          <w:sz w:val="20"/>
          <w:szCs w:val="20"/>
        </w:rPr>
        <w:t xml:space="preserve">Civil Procedure Act </w:t>
      </w:r>
      <w:r w:rsidRPr="002072FF">
        <w:rPr>
          <w:rFonts w:ascii="Book Antiqua" w:hAnsi="Book Antiqua"/>
          <w:sz w:val="20"/>
          <w:szCs w:val="20"/>
        </w:rPr>
        <w:t>2010, section 13(3)(a)</w:t>
      </w:r>
    </w:p>
  </w:footnote>
  <w:footnote w:id="53">
    <w:p w:rsidR="000415B4" w:rsidRDefault="000415B4" w:rsidP="0022424B">
      <w:pPr>
        <w:pStyle w:val="FootnoteText"/>
      </w:pPr>
      <w:r w:rsidRPr="002072FF">
        <w:rPr>
          <w:rStyle w:val="FootnoteReference"/>
          <w:rFonts w:ascii="Book Antiqua" w:hAnsi="Book Antiqua"/>
          <w:sz w:val="20"/>
          <w:szCs w:val="20"/>
        </w:rPr>
        <w:footnoteRef/>
      </w:r>
      <w:r w:rsidRPr="002072FF">
        <w:rPr>
          <w:rFonts w:ascii="Book Antiqua" w:hAnsi="Book Antiqua"/>
          <w:sz w:val="20"/>
          <w:szCs w:val="20"/>
        </w:rPr>
        <w:t xml:space="preserve"> </w:t>
      </w:r>
      <w:r w:rsidRPr="002072FF">
        <w:rPr>
          <w:rFonts w:ascii="Book Antiqua" w:hAnsi="Book Antiqua"/>
          <w:i/>
          <w:sz w:val="20"/>
          <w:szCs w:val="20"/>
        </w:rPr>
        <w:t xml:space="preserve">Civil Procedure Act </w:t>
      </w:r>
      <w:r w:rsidRPr="002072FF">
        <w:rPr>
          <w:rFonts w:ascii="Book Antiqua" w:hAnsi="Book Antiqua"/>
          <w:sz w:val="20"/>
          <w:szCs w:val="20"/>
        </w:rPr>
        <w:t>2010, section 13(3)(b)</w:t>
      </w:r>
    </w:p>
  </w:footnote>
  <w:footnote w:id="54">
    <w:p w:rsidR="000415B4" w:rsidRPr="002072FF" w:rsidRDefault="000415B4">
      <w:pPr>
        <w:pStyle w:val="FootnoteText"/>
        <w:rPr>
          <w:rFonts w:ascii="Book Antiqua" w:hAnsi="Book Antiqua"/>
          <w:sz w:val="20"/>
          <w:szCs w:val="20"/>
          <w:lang w:val="en-AU"/>
        </w:rPr>
      </w:pPr>
      <w:r w:rsidRPr="002072FF">
        <w:rPr>
          <w:rStyle w:val="FootnoteReference"/>
          <w:rFonts w:ascii="Book Antiqua" w:hAnsi="Book Antiqua"/>
          <w:sz w:val="20"/>
          <w:szCs w:val="20"/>
        </w:rPr>
        <w:footnoteRef/>
      </w:r>
      <w:r w:rsidRPr="002072FF">
        <w:rPr>
          <w:rFonts w:ascii="Book Antiqua" w:hAnsi="Book Antiqua"/>
          <w:sz w:val="20"/>
          <w:szCs w:val="20"/>
        </w:rPr>
        <w:t xml:space="preserve"> </w:t>
      </w:r>
      <w:r w:rsidRPr="002072FF">
        <w:rPr>
          <w:rFonts w:ascii="Book Antiqua" w:hAnsi="Book Antiqua"/>
          <w:i/>
          <w:sz w:val="20"/>
          <w:szCs w:val="20"/>
          <w:lang w:val="en-AU"/>
        </w:rPr>
        <w:t>Oswal Proceedings</w:t>
      </w:r>
      <w:r w:rsidRPr="002072FF">
        <w:rPr>
          <w:rFonts w:ascii="Book Antiqua" w:hAnsi="Book Antiqua"/>
          <w:sz w:val="20"/>
          <w:szCs w:val="20"/>
          <w:lang w:val="en-AU"/>
        </w:rPr>
        <w:t>, para 1</w:t>
      </w:r>
    </w:p>
  </w:footnote>
  <w:footnote w:id="55">
    <w:p w:rsidR="000415B4" w:rsidRPr="002072FF" w:rsidRDefault="000415B4" w:rsidP="00772F7E">
      <w:pPr>
        <w:pStyle w:val="FootnoteText"/>
        <w:rPr>
          <w:rFonts w:ascii="Book Antiqua" w:hAnsi="Book Antiqua"/>
          <w:b/>
          <w:sz w:val="20"/>
          <w:szCs w:val="20"/>
          <w:lang w:val="en-AU"/>
        </w:rPr>
      </w:pPr>
      <w:r w:rsidRPr="002072FF">
        <w:rPr>
          <w:rStyle w:val="FootnoteReference"/>
          <w:rFonts w:ascii="Book Antiqua" w:hAnsi="Book Antiqua"/>
          <w:sz w:val="20"/>
          <w:szCs w:val="20"/>
        </w:rPr>
        <w:footnoteRef/>
      </w:r>
      <w:r w:rsidRPr="002072FF">
        <w:rPr>
          <w:rFonts w:ascii="Book Antiqua" w:hAnsi="Book Antiqua"/>
          <w:sz w:val="20"/>
          <w:szCs w:val="20"/>
        </w:rPr>
        <w:t xml:space="preserve"> </w:t>
      </w:r>
      <w:r w:rsidRPr="002072FF">
        <w:rPr>
          <w:rFonts w:ascii="Book Antiqua" w:hAnsi="Book Antiqua"/>
          <w:i/>
          <w:sz w:val="20"/>
          <w:szCs w:val="20"/>
        </w:rPr>
        <w:t>Jones v National Coal Board</w:t>
      </w:r>
      <w:r w:rsidRPr="002072FF">
        <w:rPr>
          <w:rFonts w:ascii="Book Antiqua" w:hAnsi="Book Antiqua"/>
          <w:sz w:val="20"/>
          <w:szCs w:val="20"/>
        </w:rPr>
        <w:t xml:space="preserve"> [1957] 2 QB 55, 63 referred </w:t>
      </w:r>
      <w:r>
        <w:rPr>
          <w:rFonts w:ascii="Book Antiqua" w:hAnsi="Book Antiqua"/>
          <w:sz w:val="20"/>
          <w:szCs w:val="20"/>
        </w:rPr>
        <w:t xml:space="preserve">to in </w:t>
      </w:r>
      <w:r w:rsidRPr="002072FF">
        <w:rPr>
          <w:rFonts w:ascii="Book Antiqua" w:hAnsi="Book Antiqua"/>
          <w:i/>
          <w:sz w:val="20"/>
          <w:szCs w:val="20"/>
        </w:rPr>
        <w:t>ALRC Review</w:t>
      </w:r>
      <w:r>
        <w:rPr>
          <w:rFonts w:ascii="Book Antiqua" w:hAnsi="Book Antiqua"/>
          <w:sz w:val="20"/>
          <w:szCs w:val="20"/>
        </w:rPr>
        <w:t xml:space="preserve"> note 175, p 102</w:t>
      </w:r>
    </w:p>
  </w:footnote>
  <w:footnote w:id="56">
    <w:p w:rsidR="000415B4" w:rsidRPr="00D4574B" w:rsidRDefault="000415B4">
      <w:pPr>
        <w:pStyle w:val="FootnoteText"/>
        <w:rPr>
          <w:lang w:val="en-AU"/>
        </w:rPr>
      </w:pPr>
      <w:r w:rsidRPr="002072FF">
        <w:rPr>
          <w:rStyle w:val="FootnoteReference"/>
          <w:rFonts w:ascii="Book Antiqua" w:hAnsi="Book Antiqua"/>
          <w:sz w:val="20"/>
          <w:szCs w:val="20"/>
        </w:rPr>
        <w:footnoteRef/>
      </w:r>
      <w:r w:rsidRPr="002072FF">
        <w:rPr>
          <w:rFonts w:ascii="Book Antiqua" w:hAnsi="Book Antiqua"/>
          <w:sz w:val="20"/>
          <w:szCs w:val="20"/>
        </w:rPr>
        <w:t xml:space="preserve"> </w:t>
      </w:r>
      <w:r w:rsidRPr="002072FF">
        <w:rPr>
          <w:rFonts w:ascii="Book Antiqua" w:hAnsi="Book Antiqua"/>
          <w:sz w:val="20"/>
          <w:szCs w:val="20"/>
          <w:lang w:val="en-AU"/>
        </w:rPr>
        <w:t>Ad</w:t>
      </w:r>
      <w:r>
        <w:rPr>
          <w:rFonts w:ascii="Book Antiqua" w:hAnsi="Book Antiqua"/>
          <w:sz w:val="20"/>
          <w:szCs w:val="20"/>
          <w:lang w:val="en-AU"/>
        </w:rPr>
        <w:t>r</w:t>
      </w:r>
      <w:r w:rsidRPr="002072FF">
        <w:rPr>
          <w:rFonts w:ascii="Book Antiqua" w:hAnsi="Book Antiqua"/>
          <w:sz w:val="20"/>
          <w:szCs w:val="20"/>
          <w:lang w:val="en-AU"/>
        </w:rPr>
        <w:t>ian Zu</w:t>
      </w:r>
      <w:r>
        <w:rPr>
          <w:rFonts w:ascii="Book Antiqua" w:hAnsi="Book Antiqua"/>
          <w:sz w:val="20"/>
          <w:szCs w:val="20"/>
          <w:lang w:val="en-AU"/>
        </w:rPr>
        <w:t>c</w:t>
      </w:r>
      <w:r w:rsidRPr="002072FF">
        <w:rPr>
          <w:rFonts w:ascii="Book Antiqua" w:hAnsi="Book Antiqua"/>
          <w:sz w:val="20"/>
          <w:szCs w:val="20"/>
          <w:lang w:val="en-AU"/>
        </w:rPr>
        <w:t xml:space="preserve">kerman, “Litigation Management under the CPR: A Poorly-used Management Infrastructure” in Deirdre Dwyer (ed), </w:t>
      </w:r>
      <w:r w:rsidRPr="002072FF">
        <w:rPr>
          <w:rFonts w:ascii="Book Antiqua" w:hAnsi="Book Antiqua"/>
          <w:i/>
          <w:sz w:val="20"/>
          <w:szCs w:val="20"/>
          <w:lang w:val="en-AU"/>
        </w:rPr>
        <w:t>The Civil Procedure Rules Ten Years On</w:t>
      </w:r>
      <w:r w:rsidRPr="002072FF">
        <w:rPr>
          <w:rFonts w:ascii="Book Antiqua" w:hAnsi="Book Antiqua"/>
          <w:sz w:val="20"/>
          <w:szCs w:val="20"/>
          <w:lang w:val="en-AU"/>
        </w:rPr>
        <w:t xml:space="preserve"> (Oxford University Press, 2009) 89, 94</w:t>
      </w:r>
    </w:p>
  </w:footnote>
  <w:footnote w:id="57">
    <w:p w:rsidR="000415B4" w:rsidRPr="002072FF" w:rsidRDefault="000415B4">
      <w:pPr>
        <w:pStyle w:val="FootnoteText"/>
        <w:rPr>
          <w:rFonts w:ascii="Book Antiqua" w:hAnsi="Book Antiqua"/>
          <w:sz w:val="20"/>
          <w:szCs w:val="20"/>
          <w:lang w:val="en-AU"/>
        </w:rPr>
      </w:pPr>
      <w:r w:rsidRPr="002072FF">
        <w:rPr>
          <w:rStyle w:val="FootnoteReference"/>
          <w:rFonts w:ascii="Book Antiqua" w:hAnsi="Book Antiqua"/>
          <w:sz w:val="20"/>
          <w:szCs w:val="20"/>
        </w:rPr>
        <w:footnoteRef/>
      </w:r>
      <w:r w:rsidRPr="002072FF">
        <w:rPr>
          <w:rFonts w:ascii="Book Antiqua" w:hAnsi="Book Antiqua"/>
          <w:sz w:val="20"/>
          <w:szCs w:val="20"/>
        </w:rPr>
        <w:t xml:space="preserve"> </w:t>
      </w:r>
      <w:r>
        <w:rPr>
          <w:rFonts w:ascii="Book Antiqua" w:hAnsi="Book Antiqua"/>
          <w:i/>
          <w:sz w:val="20"/>
          <w:szCs w:val="20"/>
          <w:lang w:val="en-AU"/>
        </w:rPr>
        <w:t>Oswal P</w:t>
      </w:r>
      <w:r w:rsidRPr="002072FF">
        <w:rPr>
          <w:rFonts w:ascii="Book Antiqua" w:hAnsi="Book Antiqua"/>
          <w:i/>
          <w:sz w:val="20"/>
          <w:szCs w:val="20"/>
          <w:lang w:val="en-AU"/>
        </w:rPr>
        <w:t>roceedings,</w:t>
      </w:r>
      <w:r w:rsidRPr="002072FF">
        <w:rPr>
          <w:rFonts w:ascii="Book Antiqua" w:hAnsi="Book Antiqua"/>
          <w:sz w:val="20"/>
          <w:szCs w:val="20"/>
          <w:lang w:val="en-AU"/>
        </w:rPr>
        <w:t xml:space="preserve"> para 27.</w:t>
      </w:r>
    </w:p>
  </w:footnote>
  <w:footnote w:id="58">
    <w:p w:rsidR="000415B4" w:rsidRPr="00C21E01" w:rsidRDefault="000415B4">
      <w:pPr>
        <w:pStyle w:val="FootnoteText"/>
        <w:rPr>
          <w:lang w:val="en-AU"/>
        </w:rPr>
      </w:pPr>
      <w:r w:rsidRPr="002072FF">
        <w:rPr>
          <w:rStyle w:val="FootnoteReference"/>
          <w:rFonts w:ascii="Book Antiqua" w:hAnsi="Book Antiqua"/>
          <w:sz w:val="20"/>
          <w:szCs w:val="20"/>
        </w:rPr>
        <w:footnoteRef/>
      </w:r>
      <w:r w:rsidRPr="002072FF">
        <w:rPr>
          <w:rFonts w:ascii="Book Antiqua" w:hAnsi="Book Antiqua"/>
          <w:sz w:val="20"/>
          <w:szCs w:val="20"/>
        </w:rPr>
        <w:t xml:space="preserve"> </w:t>
      </w:r>
      <w:r w:rsidRPr="002072FF">
        <w:rPr>
          <w:rFonts w:ascii="Book Antiqua" w:hAnsi="Book Antiqua"/>
          <w:i/>
          <w:sz w:val="20"/>
          <w:szCs w:val="20"/>
          <w:lang w:val="en-AU"/>
        </w:rPr>
        <w:t>Oswa</w:t>
      </w:r>
      <w:r>
        <w:rPr>
          <w:rFonts w:ascii="Book Antiqua" w:hAnsi="Book Antiqua"/>
          <w:i/>
          <w:sz w:val="20"/>
          <w:szCs w:val="20"/>
          <w:lang w:val="en-AU"/>
        </w:rPr>
        <w:t>l P</w:t>
      </w:r>
      <w:r w:rsidRPr="002072FF">
        <w:rPr>
          <w:rFonts w:ascii="Book Antiqua" w:hAnsi="Book Antiqua"/>
          <w:i/>
          <w:sz w:val="20"/>
          <w:szCs w:val="20"/>
          <w:lang w:val="en-AU"/>
        </w:rPr>
        <w:t>roceedings</w:t>
      </w:r>
      <w:r w:rsidRPr="002072FF">
        <w:rPr>
          <w:rFonts w:ascii="Book Antiqua" w:hAnsi="Book Antiqua"/>
          <w:sz w:val="20"/>
          <w:szCs w:val="20"/>
          <w:lang w:val="en-AU"/>
        </w:rPr>
        <w:t>, para 13</w:t>
      </w:r>
    </w:p>
  </w:footnote>
  <w:footnote w:id="59">
    <w:p w:rsidR="000415B4" w:rsidRPr="002072FF" w:rsidRDefault="000415B4">
      <w:pPr>
        <w:pStyle w:val="FootnoteText"/>
        <w:rPr>
          <w:rFonts w:ascii="Book Antiqua" w:hAnsi="Book Antiqua"/>
          <w:sz w:val="20"/>
          <w:szCs w:val="20"/>
          <w:lang w:val="en-AU"/>
        </w:rPr>
      </w:pPr>
      <w:r w:rsidRPr="002072FF">
        <w:rPr>
          <w:rStyle w:val="FootnoteReference"/>
          <w:rFonts w:ascii="Book Antiqua" w:hAnsi="Book Antiqua"/>
          <w:sz w:val="20"/>
          <w:szCs w:val="20"/>
        </w:rPr>
        <w:footnoteRef/>
      </w:r>
      <w:r w:rsidRPr="002072FF">
        <w:rPr>
          <w:rFonts w:ascii="Book Antiqua" w:hAnsi="Book Antiqua"/>
          <w:sz w:val="20"/>
          <w:szCs w:val="20"/>
        </w:rPr>
        <w:t xml:space="preserve"> </w:t>
      </w:r>
      <w:r w:rsidRPr="002072FF">
        <w:rPr>
          <w:rFonts w:ascii="Book Antiqua" w:hAnsi="Book Antiqua"/>
          <w:i/>
          <w:sz w:val="20"/>
          <w:szCs w:val="20"/>
          <w:lang w:val="en-AU"/>
        </w:rPr>
        <w:t>Oswal Proceedings</w:t>
      </w:r>
      <w:r w:rsidRPr="002072FF">
        <w:rPr>
          <w:rFonts w:ascii="Book Antiqua" w:hAnsi="Book Antiqua"/>
          <w:sz w:val="20"/>
          <w:szCs w:val="20"/>
          <w:lang w:val="en-AU"/>
        </w:rPr>
        <w:t>, para 34</w:t>
      </w:r>
    </w:p>
  </w:footnote>
  <w:footnote w:id="60">
    <w:p w:rsidR="000415B4" w:rsidRPr="002072FF" w:rsidRDefault="000415B4">
      <w:pPr>
        <w:pStyle w:val="FootnoteText"/>
        <w:rPr>
          <w:lang w:val="en-AU"/>
        </w:rPr>
      </w:pPr>
      <w:r w:rsidRPr="002072FF">
        <w:rPr>
          <w:rStyle w:val="FootnoteReference"/>
          <w:rFonts w:ascii="Book Antiqua" w:hAnsi="Book Antiqua"/>
          <w:sz w:val="20"/>
          <w:szCs w:val="20"/>
        </w:rPr>
        <w:footnoteRef/>
      </w:r>
      <w:r w:rsidRPr="002072FF">
        <w:rPr>
          <w:rFonts w:ascii="Book Antiqua" w:hAnsi="Book Antiqua"/>
          <w:sz w:val="20"/>
          <w:szCs w:val="20"/>
        </w:rPr>
        <w:t xml:space="preserve"> Victoria, </w:t>
      </w:r>
      <w:r w:rsidRPr="002072FF">
        <w:rPr>
          <w:rFonts w:ascii="Book Antiqua" w:hAnsi="Book Antiqua"/>
          <w:i/>
          <w:sz w:val="20"/>
          <w:szCs w:val="20"/>
        </w:rPr>
        <w:t>Parliamentary Debates</w:t>
      </w:r>
      <w:r w:rsidRPr="002072FF">
        <w:rPr>
          <w:rFonts w:ascii="Book Antiqua" w:hAnsi="Book Antiqua"/>
          <w:sz w:val="20"/>
          <w:szCs w:val="20"/>
        </w:rPr>
        <w:t xml:space="preserve">, Legislative Assembly, 24 June 2010, 2609 (Attorney-General Rob Hulls) referred to in </w:t>
      </w:r>
      <w:r w:rsidRPr="002072FF">
        <w:rPr>
          <w:rFonts w:ascii="Book Antiqua" w:hAnsi="Book Antiqua"/>
          <w:i/>
          <w:sz w:val="20"/>
          <w:szCs w:val="20"/>
        </w:rPr>
        <w:t>Oswal Proceedings</w:t>
      </w:r>
      <w:r w:rsidRPr="002072FF">
        <w:rPr>
          <w:rFonts w:ascii="Book Antiqua" w:hAnsi="Book Antiqua"/>
          <w:sz w:val="20"/>
          <w:szCs w:val="20"/>
        </w:rPr>
        <w:t>, para 34</w:t>
      </w:r>
    </w:p>
  </w:footnote>
  <w:footnote w:id="61">
    <w:p w:rsidR="000415B4" w:rsidRPr="002072FF" w:rsidRDefault="000415B4" w:rsidP="00D27522">
      <w:pPr>
        <w:pStyle w:val="FootnoteText"/>
        <w:rPr>
          <w:rFonts w:ascii="Book Antiqua" w:hAnsi="Book Antiqua"/>
          <w:sz w:val="20"/>
          <w:szCs w:val="20"/>
          <w:lang w:val="en-AU"/>
        </w:rPr>
      </w:pPr>
      <w:r w:rsidRPr="002072FF">
        <w:rPr>
          <w:rStyle w:val="FootnoteReference"/>
          <w:rFonts w:ascii="Book Antiqua" w:hAnsi="Book Antiqua"/>
          <w:sz w:val="20"/>
          <w:szCs w:val="20"/>
        </w:rPr>
        <w:footnoteRef/>
      </w:r>
      <w:r w:rsidRPr="002072FF">
        <w:rPr>
          <w:rFonts w:ascii="Book Antiqua" w:hAnsi="Book Antiqua"/>
          <w:sz w:val="20"/>
          <w:szCs w:val="20"/>
        </w:rPr>
        <w:t xml:space="preserve"> </w:t>
      </w:r>
      <w:r w:rsidRPr="002072FF">
        <w:rPr>
          <w:rFonts w:ascii="Book Antiqua" w:hAnsi="Book Antiqua"/>
          <w:i/>
          <w:sz w:val="20"/>
          <w:szCs w:val="20"/>
          <w:lang w:val="en-AU"/>
        </w:rPr>
        <w:t>Oswal Proceedings</w:t>
      </w:r>
      <w:r w:rsidRPr="002072FF">
        <w:rPr>
          <w:rFonts w:ascii="Book Antiqua" w:hAnsi="Book Antiqua"/>
          <w:sz w:val="20"/>
          <w:szCs w:val="20"/>
          <w:lang w:val="en-AU"/>
        </w:rPr>
        <w:t>, para 36</w:t>
      </w:r>
    </w:p>
  </w:footnote>
  <w:footnote w:id="62">
    <w:p w:rsidR="000415B4" w:rsidRPr="002072FF" w:rsidRDefault="000415B4">
      <w:pPr>
        <w:pStyle w:val="FootnoteText"/>
        <w:rPr>
          <w:rFonts w:ascii="Book Antiqua" w:hAnsi="Book Antiqua"/>
          <w:sz w:val="20"/>
          <w:szCs w:val="20"/>
          <w:lang w:val="en-AU"/>
        </w:rPr>
      </w:pPr>
      <w:r w:rsidRPr="002072FF">
        <w:rPr>
          <w:rStyle w:val="FootnoteReference"/>
          <w:rFonts w:ascii="Book Antiqua" w:hAnsi="Book Antiqua"/>
          <w:sz w:val="20"/>
          <w:szCs w:val="20"/>
        </w:rPr>
        <w:footnoteRef/>
      </w:r>
      <w:r w:rsidRPr="002072FF">
        <w:rPr>
          <w:rFonts w:ascii="Book Antiqua" w:hAnsi="Book Antiqua"/>
          <w:sz w:val="20"/>
          <w:szCs w:val="20"/>
        </w:rPr>
        <w:t xml:space="preserve"> </w:t>
      </w:r>
      <w:r w:rsidRPr="002072FF">
        <w:rPr>
          <w:rFonts w:ascii="Book Antiqua" w:hAnsi="Book Antiqua"/>
          <w:i/>
          <w:sz w:val="20"/>
          <w:szCs w:val="20"/>
          <w:lang w:val="en-AU"/>
        </w:rPr>
        <w:t>Oswal Proceedings,</w:t>
      </w:r>
      <w:r w:rsidRPr="002072FF">
        <w:rPr>
          <w:rFonts w:ascii="Book Antiqua" w:hAnsi="Book Antiqua"/>
          <w:sz w:val="20"/>
          <w:szCs w:val="20"/>
          <w:lang w:val="en-AU"/>
        </w:rPr>
        <w:t xml:space="preserve"> para 39</w:t>
      </w:r>
    </w:p>
  </w:footnote>
  <w:footnote w:id="63">
    <w:p w:rsidR="000415B4" w:rsidRPr="002072FF" w:rsidRDefault="000415B4">
      <w:pPr>
        <w:pStyle w:val="FootnoteText"/>
        <w:rPr>
          <w:rFonts w:ascii="Book Antiqua" w:hAnsi="Book Antiqua"/>
          <w:sz w:val="20"/>
          <w:szCs w:val="20"/>
          <w:lang w:val="en-AU"/>
        </w:rPr>
      </w:pPr>
      <w:r w:rsidRPr="002072FF">
        <w:rPr>
          <w:rStyle w:val="FootnoteReference"/>
          <w:rFonts w:ascii="Book Antiqua" w:hAnsi="Book Antiqua"/>
          <w:sz w:val="20"/>
          <w:szCs w:val="20"/>
        </w:rPr>
        <w:footnoteRef/>
      </w:r>
      <w:r w:rsidRPr="002072FF">
        <w:rPr>
          <w:rFonts w:ascii="Book Antiqua" w:hAnsi="Book Antiqua"/>
          <w:sz w:val="20"/>
          <w:szCs w:val="20"/>
        </w:rPr>
        <w:t xml:space="preserve"> </w:t>
      </w:r>
      <w:r w:rsidRPr="002072FF">
        <w:rPr>
          <w:rFonts w:ascii="Book Antiqua" w:hAnsi="Book Antiqua"/>
          <w:i/>
          <w:sz w:val="20"/>
          <w:szCs w:val="20"/>
          <w:lang w:val="en-AU"/>
        </w:rPr>
        <w:t>Oswal Proceedings,</w:t>
      </w:r>
      <w:r w:rsidRPr="002072FF">
        <w:rPr>
          <w:rFonts w:ascii="Book Antiqua" w:hAnsi="Book Antiqua"/>
          <w:sz w:val="20"/>
          <w:szCs w:val="20"/>
          <w:lang w:val="en-AU"/>
        </w:rPr>
        <w:t xml:space="preserve"> para 40</w:t>
      </w:r>
    </w:p>
  </w:footnote>
  <w:footnote w:id="64">
    <w:p w:rsidR="000415B4" w:rsidRPr="009F7C35" w:rsidRDefault="000415B4">
      <w:pPr>
        <w:pStyle w:val="FootnoteText"/>
        <w:rPr>
          <w:lang w:val="en-AU"/>
        </w:rPr>
      </w:pPr>
      <w:r w:rsidRPr="002072FF">
        <w:rPr>
          <w:rStyle w:val="FootnoteReference"/>
          <w:rFonts w:ascii="Book Antiqua" w:hAnsi="Book Antiqua"/>
          <w:sz w:val="20"/>
          <w:szCs w:val="20"/>
        </w:rPr>
        <w:footnoteRef/>
      </w:r>
      <w:r w:rsidRPr="002072FF">
        <w:rPr>
          <w:rFonts w:ascii="Book Antiqua" w:hAnsi="Book Antiqua"/>
          <w:sz w:val="20"/>
          <w:szCs w:val="20"/>
        </w:rPr>
        <w:t xml:space="preserve"> </w:t>
      </w:r>
      <w:r w:rsidRPr="002072FF">
        <w:rPr>
          <w:rFonts w:ascii="Book Antiqua" w:hAnsi="Book Antiqua"/>
          <w:i/>
          <w:sz w:val="20"/>
          <w:szCs w:val="20"/>
          <w:lang w:val="en-AU"/>
        </w:rPr>
        <w:t>Oswal Proceedings</w:t>
      </w:r>
      <w:r w:rsidRPr="002072FF">
        <w:rPr>
          <w:rFonts w:ascii="Book Antiqua" w:hAnsi="Book Antiqua"/>
          <w:sz w:val="20"/>
          <w:szCs w:val="20"/>
          <w:lang w:val="en-AU"/>
        </w:rPr>
        <w:t>, para 40</w:t>
      </w:r>
    </w:p>
  </w:footnote>
  <w:footnote w:id="65">
    <w:p w:rsidR="000415B4" w:rsidRPr="002072FF" w:rsidRDefault="000415B4">
      <w:pPr>
        <w:pStyle w:val="FootnoteText"/>
        <w:rPr>
          <w:rFonts w:ascii="Book Antiqua" w:hAnsi="Book Antiqua"/>
          <w:sz w:val="20"/>
          <w:szCs w:val="20"/>
          <w:lang w:val="en-AU"/>
        </w:rPr>
      </w:pPr>
      <w:r w:rsidRPr="002072FF">
        <w:rPr>
          <w:rStyle w:val="FootnoteReference"/>
          <w:rFonts w:ascii="Book Antiqua" w:hAnsi="Book Antiqua"/>
          <w:sz w:val="20"/>
          <w:szCs w:val="20"/>
        </w:rPr>
        <w:footnoteRef/>
      </w:r>
      <w:r w:rsidRPr="002072FF">
        <w:rPr>
          <w:rFonts w:ascii="Book Antiqua" w:hAnsi="Book Antiqua"/>
          <w:sz w:val="20"/>
          <w:szCs w:val="20"/>
        </w:rPr>
        <w:t xml:space="preserve"> </w:t>
      </w:r>
      <w:r w:rsidRPr="002072FF">
        <w:rPr>
          <w:rFonts w:ascii="Book Antiqua" w:hAnsi="Book Antiqua"/>
          <w:i/>
          <w:sz w:val="20"/>
          <w:szCs w:val="20"/>
          <w:lang w:val="en-AU"/>
        </w:rPr>
        <w:t>Oswal Proceedings,</w:t>
      </w:r>
      <w:r w:rsidRPr="002072FF">
        <w:rPr>
          <w:rFonts w:ascii="Book Antiqua" w:hAnsi="Book Antiqua"/>
          <w:sz w:val="20"/>
          <w:szCs w:val="20"/>
          <w:lang w:val="en-AU"/>
        </w:rPr>
        <w:t xml:space="preserve"> para 44</w:t>
      </w:r>
    </w:p>
  </w:footnote>
  <w:footnote w:id="66">
    <w:p w:rsidR="000415B4" w:rsidRPr="000415B4" w:rsidRDefault="000415B4">
      <w:pPr>
        <w:pStyle w:val="FootnoteText"/>
        <w:rPr>
          <w:lang w:val="en-AU"/>
        </w:rPr>
      </w:pPr>
      <w:r w:rsidRPr="00367BCC">
        <w:rPr>
          <w:rStyle w:val="FootnoteReference"/>
          <w:rFonts w:ascii="Book Antiqua" w:hAnsi="Book Antiqua"/>
          <w:sz w:val="20"/>
          <w:szCs w:val="20"/>
        </w:rPr>
        <w:footnoteRef/>
      </w:r>
      <w:r w:rsidRPr="00367BCC">
        <w:rPr>
          <w:rFonts w:ascii="Book Antiqua" w:hAnsi="Book Antiqua"/>
          <w:sz w:val="20"/>
          <w:szCs w:val="20"/>
        </w:rPr>
        <w:t xml:space="preserve"> </w:t>
      </w:r>
      <w:r w:rsidRPr="002072FF">
        <w:rPr>
          <w:rFonts w:ascii="Book Antiqua" w:hAnsi="Book Antiqua"/>
          <w:i/>
          <w:sz w:val="20"/>
          <w:szCs w:val="20"/>
          <w:lang w:val="en-AU"/>
        </w:rPr>
        <w:t>Oswal Proceedings</w:t>
      </w:r>
      <w:r w:rsidR="00367BCC" w:rsidRPr="00367BCC">
        <w:rPr>
          <w:rFonts w:ascii="Book Antiqua" w:hAnsi="Book Antiqua"/>
          <w:sz w:val="20"/>
          <w:szCs w:val="20"/>
          <w:lang w:val="en-AU"/>
        </w:rPr>
        <w:t>, para 49, 51</w:t>
      </w:r>
    </w:p>
  </w:footnote>
  <w:footnote w:id="67">
    <w:p w:rsidR="000415B4" w:rsidRPr="00D27522" w:rsidRDefault="000415B4">
      <w:pPr>
        <w:pStyle w:val="FootnoteText"/>
        <w:rPr>
          <w:lang w:val="en-AU"/>
        </w:rPr>
      </w:pPr>
      <w:r w:rsidRPr="002072FF">
        <w:rPr>
          <w:rStyle w:val="FootnoteReference"/>
          <w:rFonts w:ascii="Book Antiqua" w:hAnsi="Book Antiqua"/>
          <w:sz w:val="20"/>
          <w:szCs w:val="20"/>
        </w:rPr>
        <w:footnoteRef/>
      </w:r>
      <w:r w:rsidRPr="002072FF">
        <w:rPr>
          <w:rFonts w:ascii="Book Antiqua" w:hAnsi="Book Antiqua"/>
          <w:sz w:val="20"/>
          <w:szCs w:val="20"/>
        </w:rPr>
        <w:t xml:space="preserve"> </w:t>
      </w:r>
      <w:r w:rsidRPr="002072FF">
        <w:rPr>
          <w:rFonts w:ascii="Book Antiqua" w:hAnsi="Book Antiqua"/>
          <w:sz w:val="20"/>
          <w:szCs w:val="20"/>
          <w:lang w:val="en-AU"/>
        </w:rPr>
        <w:t>[emphasis added],</w:t>
      </w:r>
    </w:p>
  </w:footnote>
  <w:footnote w:id="68">
    <w:p w:rsidR="000415B4" w:rsidRPr="00D11DBD" w:rsidRDefault="000415B4">
      <w:pPr>
        <w:pStyle w:val="FootnoteText"/>
        <w:rPr>
          <w:rFonts w:ascii="Book Antiqua" w:hAnsi="Book Antiqua"/>
          <w:sz w:val="20"/>
          <w:szCs w:val="20"/>
          <w:lang w:val="en-AU"/>
        </w:rPr>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i/>
          <w:sz w:val="20"/>
          <w:szCs w:val="20"/>
          <w:lang w:val="en-AU"/>
        </w:rPr>
        <w:t>Oswal Proceedings</w:t>
      </w:r>
      <w:r w:rsidRPr="00D11DBD">
        <w:rPr>
          <w:rFonts w:ascii="Book Antiqua" w:hAnsi="Book Antiqua"/>
          <w:sz w:val="20"/>
          <w:szCs w:val="20"/>
          <w:lang w:val="en-AU"/>
        </w:rPr>
        <w:t>, para 25</w:t>
      </w:r>
    </w:p>
  </w:footnote>
  <w:footnote w:id="69">
    <w:p w:rsidR="000415B4" w:rsidRDefault="000415B4">
      <w:pPr>
        <w:pStyle w:val="FootnoteText"/>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i/>
          <w:sz w:val="20"/>
          <w:szCs w:val="20"/>
          <w:lang w:val="en-AU"/>
        </w:rPr>
        <w:t>Oswal Proceedings</w:t>
      </w:r>
      <w:r w:rsidRPr="00D11DBD">
        <w:rPr>
          <w:rFonts w:ascii="Book Antiqua" w:hAnsi="Book Antiqua"/>
          <w:sz w:val="20"/>
          <w:szCs w:val="20"/>
          <w:lang w:val="en-AU"/>
        </w:rPr>
        <w:t>, para 21</w:t>
      </w:r>
    </w:p>
  </w:footnote>
  <w:footnote w:id="70">
    <w:p w:rsidR="000415B4" w:rsidRPr="00C7410D" w:rsidRDefault="000415B4">
      <w:pPr>
        <w:pStyle w:val="FootnoteText"/>
        <w:rPr>
          <w:rFonts w:ascii="Book Antiqua" w:hAnsi="Book Antiqua"/>
          <w:sz w:val="20"/>
          <w:szCs w:val="20"/>
        </w:rPr>
      </w:pPr>
      <w:r w:rsidRPr="00C7410D">
        <w:rPr>
          <w:rStyle w:val="FootnoteReference"/>
          <w:rFonts w:ascii="Book Antiqua" w:hAnsi="Book Antiqua"/>
          <w:sz w:val="20"/>
          <w:szCs w:val="20"/>
        </w:rPr>
        <w:footnoteRef/>
      </w:r>
      <w:r w:rsidRPr="00C7410D">
        <w:rPr>
          <w:rFonts w:ascii="Book Antiqua" w:hAnsi="Book Antiqua"/>
          <w:sz w:val="20"/>
          <w:szCs w:val="20"/>
        </w:rPr>
        <w:t xml:space="preserve"> </w:t>
      </w:r>
      <w:r w:rsidRPr="00C7410D">
        <w:rPr>
          <w:rFonts w:ascii="Book Antiqua" w:hAnsi="Book Antiqua"/>
          <w:i/>
          <w:sz w:val="20"/>
          <w:szCs w:val="20"/>
        </w:rPr>
        <w:t>Civil Procedure Act</w:t>
      </w:r>
      <w:r w:rsidRPr="00C7410D">
        <w:rPr>
          <w:rFonts w:ascii="Book Antiqua" w:hAnsi="Book Antiqua"/>
          <w:sz w:val="20"/>
          <w:szCs w:val="20"/>
        </w:rPr>
        <w:t xml:space="preserve"> 2005 (NSW), section 56(1) </w:t>
      </w:r>
    </w:p>
  </w:footnote>
  <w:footnote w:id="71">
    <w:p w:rsidR="000415B4" w:rsidRPr="00C7410D" w:rsidRDefault="000415B4">
      <w:pPr>
        <w:pStyle w:val="FootnoteText"/>
        <w:rPr>
          <w:rFonts w:ascii="Book Antiqua" w:hAnsi="Book Antiqua"/>
          <w:sz w:val="20"/>
          <w:szCs w:val="20"/>
        </w:rPr>
      </w:pPr>
      <w:r w:rsidRPr="00C7410D">
        <w:rPr>
          <w:rStyle w:val="FootnoteReference"/>
          <w:rFonts w:ascii="Book Antiqua" w:hAnsi="Book Antiqua"/>
          <w:sz w:val="20"/>
          <w:szCs w:val="20"/>
        </w:rPr>
        <w:footnoteRef/>
      </w:r>
      <w:r w:rsidRPr="00C7410D">
        <w:rPr>
          <w:rFonts w:ascii="Book Antiqua" w:hAnsi="Book Antiqua"/>
          <w:sz w:val="20"/>
          <w:szCs w:val="20"/>
        </w:rPr>
        <w:t xml:space="preserve"> </w:t>
      </w:r>
      <w:r w:rsidRPr="00C7410D">
        <w:rPr>
          <w:rFonts w:ascii="Book Antiqua" w:hAnsi="Book Antiqua"/>
          <w:i/>
          <w:sz w:val="20"/>
          <w:szCs w:val="20"/>
        </w:rPr>
        <w:t>White Industries (Qld) Pty Ltd v Flower &amp; Hart (a firm)</w:t>
      </w:r>
      <w:r w:rsidRPr="00C7410D">
        <w:rPr>
          <w:rFonts w:ascii="Book Antiqua" w:hAnsi="Book Antiqua"/>
          <w:sz w:val="20"/>
          <w:szCs w:val="20"/>
        </w:rPr>
        <w:t xml:space="preserve"> (1998) 156 ALR 169 at 229</w:t>
      </w:r>
    </w:p>
  </w:footnote>
  <w:footnote w:id="72">
    <w:p w:rsidR="000415B4" w:rsidRPr="002072FF" w:rsidRDefault="000415B4">
      <w:pPr>
        <w:pStyle w:val="FootnoteText"/>
        <w:rPr>
          <w:lang w:val="en-AU"/>
        </w:rPr>
      </w:pPr>
      <w:r w:rsidRPr="00C7410D">
        <w:rPr>
          <w:rStyle w:val="FootnoteReference"/>
          <w:rFonts w:ascii="Book Antiqua" w:hAnsi="Book Antiqua"/>
          <w:sz w:val="20"/>
          <w:szCs w:val="20"/>
        </w:rPr>
        <w:footnoteRef/>
      </w:r>
      <w:r w:rsidRPr="00C7410D">
        <w:rPr>
          <w:rFonts w:ascii="Book Antiqua" w:hAnsi="Book Antiqua"/>
          <w:sz w:val="20"/>
          <w:szCs w:val="20"/>
        </w:rPr>
        <w:t xml:space="preserve"> </w:t>
      </w:r>
      <w:r w:rsidRPr="00C7410D">
        <w:rPr>
          <w:rFonts w:ascii="Book Antiqua" w:hAnsi="Book Antiqua"/>
          <w:i/>
          <w:sz w:val="20"/>
          <w:szCs w:val="20"/>
          <w:lang w:val="en-AU"/>
        </w:rPr>
        <w:t>Oswal Proceedings</w:t>
      </w:r>
      <w:r w:rsidRPr="00C7410D">
        <w:rPr>
          <w:rFonts w:ascii="Book Antiqua" w:hAnsi="Book Antiqua"/>
          <w:sz w:val="20"/>
          <w:szCs w:val="20"/>
          <w:lang w:val="en-AU"/>
        </w:rPr>
        <w:t>, para 20</w:t>
      </w:r>
    </w:p>
  </w:footnote>
  <w:footnote w:id="73">
    <w:p w:rsidR="000415B4" w:rsidRPr="00D11DBD" w:rsidRDefault="000415B4">
      <w:pPr>
        <w:pStyle w:val="FootnoteText"/>
        <w:rPr>
          <w:rFonts w:ascii="Book Antiqua" w:hAnsi="Book Antiqua"/>
          <w:sz w:val="20"/>
          <w:szCs w:val="20"/>
        </w:rPr>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i/>
          <w:sz w:val="20"/>
          <w:szCs w:val="20"/>
          <w:lang w:val="en-AU"/>
        </w:rPr>
        <w:t>Oswal Proceedings</w:t>
      </w:r>
      <w:r w:rsidRPr="00D11DBD">
        <w:rPr>
          <w:rFonts w:ascii="Book Antiqua" w:hAnsi="Book Antiqua"/>
          <w:sz w:val="20"/>
          <w:szCs w:val="20"/>
          <w:lang w:val="en-AU"/>
        </w:rPr>
        <w:t>, para 20</w:t>
      </w:r>
    </w:p>
  </w:footnote>
  <w:footnote w:id="74">
    <w:p w:rsidR="000415B4" w:rsidRPr="00C7410D" w:rsidRDefault="000415B4">
      <w:pPr>
        <w:pStyle w:val="FootnoteText"/>
        <w:rPr>
          <w:rFonts w:ascii="Book Antiqua" w:hAnsi="Book Antiqua"/>
          <w:sz w:val="20"/>
          <w:szCs w:val="20"/>
          <w:lang w:val="en-AU"/>
        </w:rPr>
      </w:pPr>
      <w:r w:rsidRPr="00C7410D">
        <w:rPr>
          <w:rStyle w:val="FootnoteReference"/>
          <w:rFonts w:ascii="Book Antiqua" w:hAnsi="Book Antiqua"/>
          <w:i/>
          <w:sz w:val="20"/>
          <w:szCs w:val="20"/>
        </w:rPr>
        <w:footnoteRef/>
      </w:r>
      <w:r w:rsidRPr="00C7410D">
        <w:rPr>
          <w:rFonts w:ascii="Book Antiqua" w:hAnsi="Book Antiqua"/>
          <w:i/>
          <w:sz w:val="20"/>
          <w:szCs w:val="20"/>
        </w:rPr>
        <w:t xml:space="preserve"> Kuek v Deflan [</w:t>
      </w:r>
      <w:r w:rsidRPr="00C7410D">
        <w:rPr>
          <w:rFonts w:ascii="Book Antiqua" w:hAnsi="Book Antiqua"/>
          <w:sz w:val="20"/>
          <w:szCs w:val="20"/>
        </w:rPr>
        <w:t>2012] VSC 571</w:t>
      </w:r>
    </w:p>
  </w:footnote>
  <w:footnote w:id="75">
    <w:p w:rsidR="000415B4" w:rsidRPr="00A47FF2" w:rsidRDefault="000415B4">
      <w:pPr>
        <w:pStyle w:val="FootnoteText"/>
        <w:rPr>
          <w:lang w:val="en-AU"/>
        </w:rPr>
      </w:pPr>
      <w:r w:rsidRPr="00C7410D">
        <w:rPr>
          <w:rStyle w:val="FootnoteReference"/>
          <w:rFonts w:ascii="Book Antiqua" w:hAnsi="Book Antiqua"/>
          <w:sz w:val="20"/>
          <w:szCs w:val="20"/>
        </w:rPr>
        <w:footnoteRef/>
      </w:r>
      <w:r>
        <w:t xml:space="preserve"> </w:t>
      </w:r>
      <w:r w:rsidRPr="00C7410D">
        <w:rPr>
          <w:rFonts w:ascii="Book Antiqua" w:hAnsi="Book Antiqua"/>
          <w:i/>
          <w:sz w:val="20"/>
          <w:szCs w:val="20"/>
        </w:rPr>
        <w:t>Kuek v Deflan [</w:t>
      </w:r>
      <w:r w:rsidRPr="00C7410D">
        <w:rPr>
          <w:rFonts w:ascii="Book Antiqua" w:hAnsi="Book Antiqua"/>
          <w:sz w:val="20"/>
          <w:szCs w:val="20"/>
        </w:rPr>
        <w:t>2012] VSC 571</w:t>
      </w:r>
      <w:r>
        <w:rPr>
          <w:rFonts w:ascii="Book Antiqua" w:hAnsi="Book Antiqua"/>
          <w:sz w:val="20"/>
          <w:szCs w:val="20"/>
        </w:rPr>
        <w:t>, [2]</w:t>
      </w:r>
    </w:p>
  </w:footnote>
  <w:footnote w:id="76">
    <w:p w:rsidR="000415B4" w:rsidRPr="00D11DBD" w:rsidRDefault="000415B4">
      <w:pPr>
        <w:pStyle w:val="FootnoteText"/>
        <w:rPr>
          <w:rFonts w:ascii="Book Antiqua" w:hAnsi="Book Antiqua"/>
          <w:sz w:val="20"/>
          <w:szCs w:val="20"/>
          <w:lang w:val="en-AU"/>
        </w:rPr>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i/>
          <w:sz w:val="20"/>
          <w:szCs w:val="20"/>
        </w:rPr>
        <w:t>Kuek v Deflan [</w:t>
      </w:r>
      <w:r w:rsidRPr="00D11DBD">
        <w:rPr>
          <w:rFonts w:ascii="Book Antiqua" w:hAnsi="Book Antiqua"/>
          <w:sz w:val="20"/>
          <w:szCs w:val="20"/>
        </w:rPr>
        <w:t>2012] VSC 571,[73]</w:t>
      </w:r>
    </w:p>
  </w:footnote>
  <w:footnote w:id="77">
    <w:p w:rsidR="000415B4" w:rsidRPr="00D11DBD" w:rsidRDefault="000415B4">
      <w:pPr>
        <w:pStyle w:val="FootnoteText"/>
        <w:rPr>
          <w:lang w:val="en-AU"/>
        </w:rPr>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i/>
          <w:sz w:val="20"/>
          <w:szCs w:val="20"/>
        </w:rPr>
        <w:t>Kuek v Deflan [</w:t>
      </w:r>
      <w:r w:rsidRPr="00D11DBD">
        <w:rPr>
          <w:rFonts w:ascii="Book Antiqua" w:hAnsi="Book Antiqua"/>
          <w:sz w:val="20"/>
          <w:szCs w:val="20"/>
        </w:rPr>
        <w:t>2012] VSC 571,[78]–[79]</w:t>
      </w:r>
    </w:p>
  </w:footnote>
  <w:footnote w:id="78">
    <w:p w:rsidR="000415B4" w:rsidRPr="00D11DBD" w:rsidRDefault="000415B4">
      <w:pPr>
        <w:pStyle w:val="FootnoteText"/>
        <w:rPr>
          <w:rFonts w:ascii="Book Antiqua" w:hAnsi="Book Antiqua"/>
          <w:sz w:val="20"/>
          <w:szCs w:val="20"/>
          <w:lang w:val="en-AU"/>
        </w:rPr>
      </w:pPr>
      <w:r w:rsidRPr="00D11DBD">
        <w:rPr>
          <w:rStyle w:val="FootnoteReference"/>
          <w:rFonts w:ascii="Book Antiqua" w:hAnsi="Book Antiqua"/>
          <w:sz w:val="20"/>
          <w:szCs w:val="20"/>
        </w:rPr>
        <w:footnoteRef/>
      </w:r>
      <w:r w:rsidRPr="00D11DBD">
        <w:rPr>
          <w:rFonts w:ascii="Book Antiqua" w:hAnsi="Book Antiqua"/>
          <w:sz w:val="20"/>
          <w:szCs w:val="20"/>
        </w:rPr>
        <w:t xml:space="preserve"> Explanatory Memorandum, </w:t>
      </w:r>
      <w:r w:rsidRPr="00D11DBD">
        <w:rPr>
          <w:rFonts w:ascii="Book Antiqua" w:hAnsi="Book Antiqua"/>
          <w:i/>
          <w:sz w:val="20"/>
          <w:szCs w:val="20"/>
        </w:rPr>
        <w:t>Civil Procedure Amendment Bill</w:t>
      </w:r>
      <w:r w:rsidRPr="00D11DBD">
        <w:rPr>
          <w:rFonts w:ascii="Book Antiqua" w:hAnsi="Book Antiqua"/>
          <w:sz w:val="20"/>
          <w:szCs w:val="20"/>
        </w:rPr>
        <w:t xml:space="preserve"> 2012,</w:t>
      </w:r>
      <w:r>
        <w:rPr>
          <w:rFonts w:ascii="Book Antiqua" w:hAnsi="Book Antiqua"/>
          <w:sz w:val="20"/>
          <w:szCs w:val="20"/>
        </w:rPr>
        <w:t xml:space="preserve"> 1</w:t>
      </w:r>
      <w:r w:rsidRPr="00D11DBD">
        <w:rPr>
          <w:rFonts w:ascii="Book Antiqua" w:hAnsi="Book Antiqua"/>
          <w:sz w:val="20"/>
          <w:szCs w:val="20"/>
        </w:rPr>
        <w:t xml:space="preserve"> </w:t>
      </w:r>
    </w:p>
  </w:footnote>
  <w:footnote w:id="79">
    <w:p w:rsidR="000415B4" w:rsidRPr="00D11DBD" w:rsidRDefault="000415B4">
      <w:pPr>
        <w:pStyle w:val="FootnoteText"/>
        <w:rPr>
          <w:rFonts w:ascii="Book Antiqua" w:hAnsi="Book Antiqua"/>
          <w:sz w:val="20"/>
          <w:szCs w:val="20"/>
          <w:lang w:val="en-AU"/>
        </w:rPr>
      </w:pPr>
      <w:r w:rsidRPr="00D11DBD">
        <w:rPr>
          <w:rStyle w:val="FootnoteReference"/>
          <w:rFonts w:ascii="Book Antiqua" w:hAnsi="Book Antiqua"/>
          <w:sz w:val="20"/>
          <w:szCs w:val="20"/>
        </w:rPr>
        <w:footnoteRef/>
      </w:r>
      <w:r w:rsidRPr="00D11DBD">
        <w:rPr>
          <w:rFonts w:ascii="Book Antiqua" w:hAnsi="Book Antiqua"/>
          <w:sz w:val="20"/>
          <w:szCs w:val="20"/>
        </w:rPr>
        <w:t xml:space="preserve"> Explanatory Memorandum, </w:t>
      </w:r>
      <w:r w:rsidRPr="00D11DBD">
        <w:rPr>
          <w:rFonts w:ascii="Book Antiqua" w:hAnsi="Book Antiqua"/>
          <w:i/>
          <w:sz w:val="20"/>
          <w:szCs w:val="20"/>
        </w:rPr>
        <w:t>Civil Procedure Amendment Bill</w:t>
      </w:r>
      <w:r w:rsidRPr="00D11DBD">
        <w:rPr>
          <w:rFonts w:ascii="Book Antiqua" w:hAnsi="Book Antiqua"/>
          <w:sz w:val="20"/>
          <w:szCs w:val="20"/>
        </w:rPr>
        <w:t xml:space="preserve"> 2012</w:t>
      </w:r>
      <w:r>
        <w:rPr>
          <w:rFonts w:ascii="Book Antiqua" w:hAnsi="Book Antiqua"/>
          <w:sz w:val="20"/>
          <w:szCs w:val="20"/>
        </w:rPr>
        <w:t>, 1</w:t>
      </w:r>
    </w:p>
  </w:footnote>
  <w:footnote w:id="80">
    <w:p w:rsidR="000415B4" w:rsidRPr="00D11DBD" w:rsidRDefault="000415B4" w:rsidP="0044757E">
      <w:pPr>
        <w:pStyle w:val="FootnoteText"/>
        <w:rPr>
          <w:rFonts w:ascii="Book Antiqua" w:hAnsi="Book Antiqua"/>
          <w:sz w:val="20"/>
          <w:szCs w:val="20"/>
          <w:lang w:val="en-AU"/>
        </w:rPr>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i/>
          <w:sz w:val="20"/>
          <w:szCs w:val="20"/>
        </w:rPr>
        <w:t>Expense Reduction Analysts Group Pty Ltd v Armstrong Strategic Management and Marketing Pty</w:t>
      </w:r>
      <w:r w:rsidRPr="00D11DBD">
        <w:rPr>
          <w:rFonts w:ascii="Book Antiqua" w:hAnsi="Book Antiqua"/>
          <w:sz w:val="20"/>
          <w:szCs w:val="20"/>
        </w:rPr>
        <w:t xml:space="preserve"> </w:t>
      </w:r>
      <w:r w:rsidRPr="00D11DBD">
        <w:rPr>
          <w:rFonts w:ascii="Book Antiqua" w:hAnsi="Book Antiqua"/>
          <w:i/>
          <w:sz w:val="20"/>
          <w:szCs w:val="20"/>
        </w:rPr>
        <w:t>Ltd</w:t>
      </w:r>
      <w:r w:rsidRPr="00D11DBD">
        <w:rPr>
          <w:rFonts w:ascii="Book Antiqua" w:hAnsi="Book Antiqua" w:cs="Times-Roman"/>
          <w:sz w:val="20"/>
          <w:szCs w:val="20"/>
          <w:lang w:val="en-AU"/>
        </w:rPr>
        <w:t xml:space="preserve"> </w:t>
      </w:r>
      <w:r w:rsidRPr="00D11DBD">
        <w:rPr>
          <w:rFonts w:ascii="Book Antiqua" w:hAnsi="Book Antiqua"/>
          <w:sz w:val="20"/>
          <w:szCs w:val="20"/>
          <w:lang w:val="en-AU"/>
        </w:rPr>
        <w:t>[2013] HCA 46</w:t>
      </w:r>
    </w:p>
  </w:footnote>
  <w:footnote w:id="81">
    <w:p w:rsidR="000415B4" w:rsidRPr="00D27522" w:rsidRDefault="000415B4">
      <w:pPr>
        <w:pStyle w:val="FootnoteText"/>
        <w:rPr>
          <w:lang w:val="en-AU"/>
        </w:rPr>
      </w:pPr>
      <w:r w:rsidRPr="00D11DBD">
        <w:rPr>
          <w:rStyle w:val="FootnoteReference"/>
          <w:rFonts w:ascii="Book Antiqua" w:hAnsi="Book Antiqua"/>
          <w:sz w:val="20"/>
          <w:szCs w:val="20"/>
        </w:rPr>
        <w:footnoteRef/>
      </w:r>
      <w:r w:rsidRPr="00D11DBD">
        <w:rPr>
          <w:rFonts w:ascii="Book Antiqua" w:hAnsi="Book Antiqua"/>
          <w:sz w:val="20"/>
          <w:szCs w:val="20"/>
        </w:rPr>
        <w:t xml:space="preserve"> </w:t>
      </w:r>
      <w:r w:rsidRPr="00D11DBD">
        <w:rPr>
          <w:rFonts w:ascii="Book Antiqua" w:hAnsi="Book Antiqua"/>
          <w:i/>
          <w:sz w:val="20"/>
          <w:szCs w:val="20"/>
        </w:rPr>
        <w:t>Expense Reduction Analysts Group Pty Ltd v Armstrong Strategic Management and Marketing Pty</w:t>
      </w:r>
      <w:r w:rsidRPr="00D11DBD">
        <w:rPr>
          <w:rFonts w:ascii="Book Antiqua" w:hAnsi="Book Antiqua"/>
          <w:sz w:val="20"/>
          <w:szCs w:val="20"/>
        </w:rPr>
        <w:t xml:space="preserve"> </w:t>
      </w:r>
      <w:r w:rsidRPr="00D11DBD">
        <w:rPr>
          <w:rFonts w:ascii="Book Antiqua" w:hAnsi="Book Antiqua"/>
          <w:i/>
          <w:sz w:val="20"/>
          <w:szCs w:val="20"/>
        </w:rPr>
        <w:t>Ltd</w:t>
      </w:r>
      <w:r w:rsidRPr="00D11DBD">
        <w:rPr>
          <w:rFonts w:ascii="Book Antiqua" w:hAnsi="Book Antiqua"/>
          <w:sz w:val="20"/>
          <w:szCs w:val="20"/>
          <w:lang w:val="en-AU"/>
        </w:rPr>
        <w:t>[2013] HCA 46 at [56]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77032"/>
    <w:multiLevelType w:val="hybridMultilevel"/>
    <w:tmpl w:val="BBB46A9E"/>
    <w:lvl w:ilvl="0" w:tplc="35E4F3E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4C870A53"/>
    <w:multiLevelType w:val="hybridMultilevel"/>
    <w:tmpl w:val="7E029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7C0109B"/>
    <w:multiLevelType w:val="hybridMultilevel"/>
    <w:tmpl w:val="FFDC2D64"/>
    <w:lvl w:ilvl="0" w:tplc="6F56A55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BB0"/>
    <w:rsid w:val="000415B4"/>
    <w:rsid w:val="00043CB7"/>
    <w:rsid w:val="0005599B"/>
    <w:rsid w:val="00071265"/>
    <w:rsid w:val="0009791E"/>
    <w:rsid w:val="000D2644"/>
    <w:rsid w:val="000E190B"/>
    <w:rsid w:val="000E1EDE"/>
    <w:rsid w:val="000E64B2"/>
    <w:rsid w:val="000E6CFF"/>
    <w:rsid w:val="00116450"/>
    <w:rsid w:val="00121B53"/>
    <w:rsid w:val="00131FA3"/>
    <w:rsid w:val="00140175"/>
    <w:rsid w:val="001B3558"/>
    <w:rsid w:val="001B6494"/>
    <w:rsid w:val="001C1BB0"/>
    <w:rsid w:val="001D5675"/>
    <w:rsid w:val="0020139F"/>
    <w:rsid w:val="002072FF"/>
    <w:rsid w:val="00210619"/>
    <w:rsid w:val="002130C0"/>
    <w:rsid w:val="0021459D"/>
    <w:rsid w:val="0022424B"/>
    <w:rsid w:val="002374D9"/>
    <w:rsid w:val="002431D4"/>
    <w:rsid w:val="002523EA"/>
    <w:rsid w:val="002607EE"/>
    <w:rsid w:val="00262C86"/>
    <w:rsid w:val="00265F76"/>
    <w:rsid w:val="002A51D9"/>
    <w:rsid w:val="002B431C"/>
    <w:rsid w:val="002D4155"/>
    <w:rsid w:val="002F2186"/>
    <w:rsid w:val="002F38A4"/>
    <w:rsid w:val="002F55CE"/>
    <w:rsid w:val="00300C98"/>
    <w:rsid w:val="00311A2C"/>
    <w:rsid w:val="00317269"/>
    <w:rsid w:val="00342FFD"/>
    <w:rsid w:val="00367BCC"/>
    <w:rsid w:val="00371D55"/>
    <w:rsid w:val="0037532D"/>
    <w:rsid w:val="003875F1"/>
    <w:rsid w:val="00387D3C"/>
    <w:rsid w:val="003A0DA0"/>
    <w:rsid w:val="003F3E52"/>
    <w:rsid w:val="003F771B"/>
    <w:rsid w:val="00403328"/>
    <w:rsid w:val="004129EE"/>
    <w:rsid w:val="00430BC0"/>
    <w:rsid w:val="00441EAF"/>
    <w:rsid w:val="0044757E"/>
    <w:rsid w:val="0046729C"/>
    <w:rsid w:val="0047072E"/>
    <w:rsid w:val="004727BB"/>
    <w:rsid w:val="004842F5"/>
    <w:rsid w:val="00485256"/>
    <w:rsid w:val="0049445E"/>
    <w:rsid w:val="004A13BA"/>
    <w:rsid w:val="004C43AD"/>
    <w:rsid w:val="004C6515"/>
    <w:rsid w:val="004E029C"/>
    <w:rsid w:val="004F2492"/>
    <w:rsid w:val="004F25D7"/>
    <w:rsid w:val="004F4D37"/>
    <w:rsid w:val="005213F9"/>
    <w:rsid w:val="00521F1F"/>
    <w:rsid w:val="00523777"/>
    <w:rsid w:val="005270B2"/>
    <w:rsid w:val="005317DA"/>
    <w:rsid w:val="00537F2F"/>
    <w:rsid w:val="0054436E"/>
    <w:rsid w:val="005501E5"/>
    <w:rsid w:val="005554F9"/>
    <w:rsid w:val="005604A9"/>
    <w:rsid w:val="005802CD"/>
    <w:rsid w:val="00590DE2"/>
    <w:rsid w:val="00591CCD"/>
    <w:rsid w:val="00596380"/>
    <w:rsid w:val="005A346F"/>
    <w:rsid w:val="005E2926"/>
    <w:rsid w:val="005E4349"/>
    <w:rsid w:val="005E5C6D"/>
    <w:rsid w:val="005E6142"/>
    <w:rsid w:val="005E664D"/>
    <w:rsid w:val="00600CC4"/>
    <w:rsid w:val="0060747E"/>
    <w:rsid w:val="00616A4C"/>
    <w:rsid w:val="0065603E"/>
    <w:rsid w:val="006632FE"/>
    <w:rsid w:val="006761EC"/>
    <w:rsid w:val="00682C0B"/>
    <w:rsid w:val="0069445C"/>
    <w:rsid w:val="006A7483"/>
    <w:rsid w:val="006B0913"/>
    <w:rsid w:val="006C2D86"/>
    <w:rsid w:val="006C3864"/>
    <w:rsid w:val="006F3F97"/>
    <w:rsid w:val="006F4078"/>
    <w:rsid w:val="0070157A"/>
    <w:rsid w:val="00702F4F"/>
    <w:rsid w:val="00736B38"/>
    <w:rsid w:val="00757076"/>
    <w:rsid w:val="00763FB7"/>
    <w:rsid w:val="007649DE"/>
    <w:rsid w:val="0077085D"/>
    <w:rsid w:val="00772F7E"/>
    <w:rsid w:val="007852C7"/>
    <w:rsid w:val="00785375"/>
    <w:rsid w:val="007E2025"/>
    <w:rsid w:val="007F1365"/>
    <w:rsid w:val="007F54EB"/>
    <w:rsid w:val="0083298B"/>
    <w:rsid w:val="008354EC"/>
    <w:rsid w:val="008524D3"/>
    <w:rsid w:val="008569D9"/>
    <w:rsid w:val="00893CAF"/>
    <w:rsid w:val="008B3BCB"/>
    <w:rsid w:val="008F5942"/>
    <w:rsid w:val="009019E9"/>
    <w:rsid w:val="00910DBF"/>
    <w:rsid w:val="00911E5E"/>
    <w:rsid w:val="009132A4"/>
    <w:rsid w:val="00917731"/>
    <w:rsid w:val="0092641B"/>
    <w:rsid w:val="00966504"/>
    <w:rsid w:val="00975F48"/>
    <w:rsid w:val="009A1859"/>
    <w:rsid w:val="009B6EB5"/>
    <w:rsid w:val="009F7C35"/>
    <w:rsid w:val="00A00FA0"/>
    <w:rsid w:val="00A02084"/>
    <w:rsid w:val="00A16DCB"/>
    <w:rsid w:val="00A34F9A"/>
    <w:rsid w:val="00A40C27"/>
    <w:rsid w:val="00A44757"/>
    <w:rsid w:val="00A47FF2"/>
    <w:rsid w:val="00A620EE"/>
    <w:rsid w:val="00A66833"/>
    <w:rsid w:val="00A82CF9"/>
    <w:rsid w:val="00A93314"/>
    <w:rsid w:val="00AB317D"/>
    <w:rsid w:val="00AC5031"/>
    <w:rsid w:val="00AE3D12"/>
    <w:rsid w:val="00AF6D7B"/>
    <w:rsid w:val="00B17F8A"/>
    <w:rsid w:val="00B3325D"/>
    <w:rsid w:val="00B34285"/>
    <w:rsid w:val="00B3630E"/>
    <w:rsid w:val="00B40B93"/>
    <w:rsid w:val="00B44138"/>
    <w:rsid w:val="00B65ECC"/>
    <w:rsid w:val="00B83E7E"/>
    <w:rsid w:val="00B92710"/>
    <w:rsid w:val="00BA30B0"/>
    <w:rsid w:val="00BB21C5"/>
    <w:rsid w:val="00BE01BE"/>
    <w:rsid w:val="00BE5D5C"/>
    <w:rsid w:val="00C0618C"/>
    <w:rsid w:val="00C06B0F"/>
    <w:rsid w:val="00C074A2"/>
    <w:rsid w:val="00C103F3"/>
    <w:rsid w:val="00C16ADE"/>
    <w:rsid w:val="00C21E01"/>
    <w:rsid w:val="00C25E63"/>
    <w:rsid w:val="00C30B3D"/>
    <w:rsid w:val="00C52E69"/>
    <w:rsid w:val="00C56534"/>
    <w:rsid w:val="00C7410D"/>
    <w:rsid w:val="00C820FD"/>
    <w:rsid w:val="00CA1987"/>
    <w:rsid w:val="00CA790E"/>
    <w:rsid w:val="00CB31BF"/>
    <w:rsid w:val="00CB3B44"/>
    <w:rsid w:val="00CE2D14"/>
    <w:rsid w:val="00CF6727"/>
    <w:rsid w:val="00D100DD"/>
    <w:rsid w:val="00D11DBD"/>
    <w:rsid w:val="00D27522"/>
    <w:rsid w:val="00D3593D"/>
    <w:rsid w:val="00D41E64"/>
    <w:rsid w:val="00D4574B"/>
    <w:rsid w:val="00D540AC"/>
    <w:rsid w:val="00D913AF"/>
    <w:rsid w:val="00DB60F8"/>
    <w:rsid w:val="00DD4D30"/>
    <w:rsid w:val="00DF63A6"/>
    <w:rsid w:val="00E3611D"/>
    <w:rsid w:val="00E401C7"/>
    <w:rsid w:val="00E42F49"/>
    <w:rsid w:val="00E50E1F"/>
    <w:rsid w:val="00E511AF"/>
    <w:rsid w:val="00E53A36"/>
    <w:rsid w:val="00E64AE8"/>
    <w:rsid w:val="00E72C5B"/>
    <w:rsid w:val="00E74302"/>
    <w:rsid w:val="00E81292"/>
    <w:rsid w:val="00E87AC0"/>
    <w:rsid w:val="00E955E7"/>
    <w:rsid w:val="00E970C1"/>
    <w:rsid w:val="00EB4D3E"/>
    <w:rsid w:val="00EC2AC0"/>
    <w:rsid w:val="00EC31F8"/>
    <w:rsid w:val="00EC60BF"/>
    <w:rsid w:val="00EE3B6A"/>
    <w:rsid w:val="00EF6F51"/>
    <w:rsid w:val="00F32ADE"/>
    <w:rsid w:val="00F45601"/>
    <w:rsid w:val="00F564EF"/>
    <w:rsid w:val="00F643B9"/>
    <w:rsid w:val="00F74CDB"/>
    <w:rsid w:val="00F84F6D"/>
    <w:rsid w:val="00F9597C"/>
    <w:rsid w:val="00F95BCE"/>
    <w:rsid w:val="00FD76F6"/>
    <w:rsid w:val="00FE4ACC"/>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sdException w:name="Table Grid" w:uiPriority="5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302"/>
    <w:pPr>
      <w:ind w:left="720"/>
      <w:contextualSpacing/>
    </w:pPr>
  </w:style>
  <w:style w:type="paragraph" w:styleId="FootnoteText">
    <w:name w:val="footnote text"/>
    <w:basedOn w:val="Normal"/>
    <w:link w:val="FootnoteTextChar"/>
    <w:semiHidden/>
    <w:unhideWhenUsed/>
    <w:rsid w:val="00E74302"/>
  </w:style>
  <w:style w:type="character" w:customStyle="1" w:styleId="FootnoteTextChar">
    <w:name w:val="Footnote Text Char"/>
    <w:basedOn w:val="DefaultParagraphFont"/>
    <w:link w:val="FootnoteText"/>
    <w:semiHidden/>
    <w:rsid w:val="00E74302"/>
  </w:style>
  <w:style w:type="character" w:styleId="FootnoteReference">
    <w:name w:val="footnote reference"/>
    <w:basedOn w:val="DefaultParagraphFont"/>
    <w:semiHidden/>
    <w:unhideWhenUsed/>
    <w:rsid w:val="00E74302"/>
    <w:rPr>
      <w:vertAlign w:val="superscript"/>
    </w:rPr>
  </w:style>
  <w:style w:type="paragraph" w:styleId="BodyText">
    <w:name w:val="Body Text"/>
    <w:basedOn w:val="Normal"/>
    <w:link w:val="BodyTextChar"/>
    <w:rsid w:val="00A66833"/>
    <w:pPr>
      <w:spacing w:after="240"/>
      <w:ind w:left="720" w:right="924"/>
      <w:jc w:val="both"/>
    </w:pPr>
    <w:rPr>
      <w:rFonts w:ascii="Times New Roman" w:eastAsia="Times New Roman" w:hAnsi="Times New Roman" w:cs="Times New Roman"/>
      <w:sz w:val="22"/>
      <w:lang w:val="en-AU" w:eastAsia="en-AU"/>
    </w:rPr>
  </w:style>
  <w:style w:type="character" w:customStyle="1" w:styleId="BodyTextChar">
    <w:name w:val="Body Text Char"/>
    <w:basedOn w:val="DefaultParagraphFont"/>
    <w:link w:val="BodyText"/>
    <w:rsid w:val="00A66833"/>
    <w:rPr>
      <w:rFonts w:ascii="Times New Roman" w:eastAsia="Times New Roman" w:hAnsi="Times New Roman" w:cs="Times New Roman"/>
      <w:sz w:val="22"/>
      <w:lang w:val="en-AU" w:eastAsia="en-AU"/>
    </w:rPr>
  </w:style>
  <w:style w:type="paragraph" w:styleId="Header">
    <w:name w:val="header"/>
    <w:basedOn w:val="Normal"/>
    <w:link w:val="HeaderChar"/>
    <w:uiPriority w:val="99"/>
    <w:unhideWhenUsed/>
    <w:rsid w:val="000E6CFF"/>
    <w:pPr>
      <w:tabs>
        <w:tab w:val="center" w:pos="4513"/>
        <w:tab w:val="right" w:pos="9026"/>
      </w:tabs>
    </w:pPr>
  </w:style>
  <w:style w:type="character" w:customStyle="1" w:styleId="HeaderChar">
    <w:name w:val="Header Char"/>
    <w:basedOn w:val="DefaultParagraphFont"/>
    <w:link w:val="Header"/>
    <w:uiPriority w:val="99"/>
    <w:rsid w:val="000E6CFF"/>
  </w:style>
  <w:style w:type="paragraph" w:styleId="Footer">
    <w:name w:val="footer"/>
    <w:basedOn w:val="Normal"/>
    <w:link w:val="FooterChar"/>
    <w:uiPriority w:val="99"/>
    <w:unhideWhenUsed/>
    <w:rsid w:val="000E6CFF"/>
    <w:pPr>
      <w:tabs>
        <w:tab w:val="center" w:pos="4513"/>
        <w:tab w:val="right" w:pos="9026"/>
      </w:tabs>
    </w:pPr>
  </w:style>
  <w:style w:type="character" w:customStyle="1" w:styleId="FooterChar">
    <w:name w:val="Footer Char"/>
    <w:basedOn w:val="DefaultParagraphFont"/>
    <w:link w:val="Footer"/>
    <w:uiPriority w:val="99"/>
    <w:rsid w:val="000E6CFF"/>
  </w:style>
  <w:style w:type="paragraph" w:styleId="BalloonText">
    <w:name w:val="Balloon Text"/>
    <w:basedOn w:val="Normal"/>
    <w:link w:val="BalloonTextChar"/>
    <w:uiPriority w:val="99"/>
    <w:semiHidden/>
    <w:unhideWhenUsed/>
    <w:rsid w:val="002F2186"/>
    <w:rPr>
      <w:rFonts w:ascii="Tahoma" w:hAnsi="Tahoma" w:cs="Tahoma"/>
      <w:sz w:val="16"/>
      <w:szCs w:val="16"/>
    </w:rPr>
  </w:style>
  <w:style w:type="character" w:customStyle="1" w:styleId="BalloonTextChar">
    <w:name w:val="Balloon Text Char"/>
    <w:basedOn w:val="DefaultParagraphFont"/>
    <w:link w:val="BalloonText"/>
    <w:uiPriority w:val="99"/>
    <w:semiHidden/>
    <w:rsid w:val="002F2186"/>
    <w:rPr>
      <w:rFonts w:ascii="Tahoma" w:hAnsi="Tahoma" w:cs="Tahoma"/>
      <w:sz w:val="16"/>
      <w:szCs w:val="16"/>
    </w:rPr>
  </w:style>
  <w:style w:type="paragraph" w:customStyle="1" w:styleId="Default">
    <w:name w:val="Default"/>
    <w:rsid w:val="00C25E63"/>
    <w:pPr>
      <w:autoSpaceDE w:val="0"/>
      <w:autoSpaceDN w:val="0"/>
      <w:adjustRightInd w:val="0"/>
    </w:pPr>
    <w:rPr>
      <w:rFonts w:ascii="Times New Roman" w:hAnsi="Times New Roman" w:cs="Times New Roman"/>
      <w:color w:val="000000"/>
      <w:lang w:val="en-AU"/>
    </w:rPr>
  </w:style>
  <w:style w:type="character" w:styleId="CommentReference">
    <w:name w:val="annotation reference"/>
    <w:basedOn w:val="DefaultParagraphFont"/>
    <w:uiPriority w:val="99"/>
    <w:semiHidden/>
    <w:unhideWhenUsed/>
    <w:rsid w:val="00317269"/>
    <w:rPr>
      <w:sz w:val="16"/>
      <w:szCs w:val="16"/>
    </w:rPr>
  </w:style>
  <w:style w:type="paragraph" w:styleId="CommentText">
    <w:name w:val="annotation text"/>
    <w:basedOn w:val="Normal"/>
    <w:link w:val="CommentTextChar"/>
    <w:uiPriority w:val="99"/>
    <w:semiHidden/>
    <w:unhideWhenUsed/>
    <w:rsid w:val="00317269"/>
    <w:rPr>
      <w:sz w:val="20"/>
      <w:szCs w:val="20"/>
    </w:rPr>
  </w:style>
  <w:style w:type="character" w:customStyle="1" w:styleId="CommentTextChar">
    <w:name w:val="Comment Text Char"/>
    <w:basedOn w:val="DefaultParagraphFont"/>
    <w:link w:val="CommentText"/>
    <w:uiPriority w:val="99"/>
    <w:semiHidden/>
    <w:rsid w:val="00317269"/>
    <w:rPr>
      <w:sz w:val="20"/>
      <w:szCs w:val="20"/>
    </w:rPr>
  </w:style>
  <w:style w:type="paragraph" w:styleId="CommentSubject">
    <w:name w:val="annotation subject"/>
    <w:basedOn w:val="CommentText"/>
    <w:next w:val="CommentText"/>
    <w:link w:val="CommentSubjectChar"/>
    <w:uiPriority w:val="99"/>
    <w:semiHidden/>
    <w:unhideWhenUsed/>
    <w:rsid w:val="00317269"/>
    <w:rPr>
      <w:b/>
      <w:bCs/>
    </w:rPr>
  </w:style>
  <w:style w:type="character" w:customStyle="1" w:styleId="CommentSubjectChar">
    <w:name w:val="Comment Subject Char"/>
    <w:basedOn w:val="CommentTextChar"/>
    <w:link w:val="CommentSubject"/>
    <w:uiPriority w:val="99"/>
    <w:semiHidden/>
    <w:rsid w:val="00317269"/>
    <w:rPr>
      <w:b/>
      <w:bCs/>
      <w:sz w:val="20"/>
      <w:szCs w:val="20"/>
    </w:rPr>
  </w:style>
  <w:style w:type="character" w:styleId="BookTitle">
    <w:name w:val="Book Title"/>
    <w:basedOn w:val="DefaultParagraphFont"/>
    <w:uiPriority w:val="33"/>
    <w:qFormat/>
    <w:rsid w:val="004727BB"/>
    <w:rPr>
      <w:b/>
      <w:bCs/>
      <w:smallCaps/>
      <w:spacing w:val="5"/>
    </w:rPr>
  </w:style>
  <w:style w:type="table" w:styleId="TableGrid">
    <w:name w:val="Table Grid"/>
    <w:basedOn w:val="TableNormal"/>
    <w:uiPriority w:val="59"/>
    <w:rsid w:val="004727BB"/>
    <w:rPr>
      <w:rFonts w:ascii="Times New Roman" w:eastAsia="Calibri"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401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sdException w:name="Table Grid" w:uiPriority="5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302"/>
    <w:pPr>
      <w:ind w:left="720"/>
      <w:contextualSpacing/>
    </w:pPr>
  </w:style>
  <w:style w:type="paragraph" w:styleId="FootnoteText">
    <w:name w:val="footnote text"/>
    <w:basedOn w:val="Normal"/>
    <w:link w:val="FootnoteTextChar"/>
    <w:semiHidden/>
    <w:unhideWhenUsed/>
    <w:rsid w:val="00E74302"/>
  </w:style>
  <w:style w:type="character" w:customStyle="1" w:styleId="FootnoteTextChar">
    <w:name w:val="Footnote Text Char"/>
    <w:basedOn w:val="DefaultParagraphFont"/>
    <w:link w:val="FootnoteText"/>
    <w:semiHidden/>
    <w:rsid w:val="00E74302"/>
  </w:style>
  <w:style w:type="character" w:styleId="FootnoteReference">
    <w:name w:val="footnote reference"/>
    <w:basedOn w:val="DefaultParagraphFont"/>
    <w:semiHidden/>
    <w:unhideWhenUsed/>
    <w:rsid w:val="00E74302"/>
    <w:rPr>
      <w:vertAlign w:val="superscript"/>
    </w:rPr>
  </w:style>
  <w:style w:type="paragraph" w:styleId="BodyText">
    <w:name w:val="Body Text"/>
    <w:basedOn w:val="Normal"/>
    <w:link w:val="BodyTextChar"/>
    <w:rsid w:val="00A66833"/>
    <w:pPr>
      <w:spacing w:after="240"/>
      <w:ind w:left="720" w:right="924"/>
      <w:jc w:val="both"/>
    </w:pPr>
    <w:rPr>
      <w:rFonts w:ascii="Times New Roman" w:eastAsia="Times New Roman" w:hAnsi="Times New Roman" w:cs="Times New Roman"/>
      <w:sz w:val="22"/>
      <w:lang w:val="en-AU" w:eastAsia="en-AU"/>
    </w:rPr>
  </w:style>
  <w:style w:type="character" w:customStyle="1" w:styleId="BodyTextChar">
    <w:name w:val="Body Text Char"/>
    <w:basedOn w:val="DefaultParagraphFont"/>
    <w:link w:val="BodyText"/>
    <w:rsid w:val="00A66833"/>
    <w:rPr>
      <w:rFonts w:ascii="Times New Roman" w:eastAsia="Times New Roman" w:hAnsi="Times New Roman" w:cs="Times New Roman"/>
      <w:sz w:val="22"/>
      <w:lang w:val="en-AU" w:eastAsia="en-AU"/>
    </w:rPr>
  </w:style>
  <w:style w:type="paragraph" w:styleId="Header">
    <w:name w:val="header"/>
    <w:basedOn w:val="Normal"/>
    <w:link w:val="HeaderChar"/>
    <w:uiPriority w:val="99"/>
    <w:unhideWhenUsed/>
    <w:rsid w:val="000E6CFF"/>
    <w:pPr>
      <w:tabs>
        <w:tab w:val="center" w:pos="4513"/>
        <w:tab w:val="right" w:pos="9026"/>
      </w:tabs>
    </w:pPr>
  </w:style>
  <w:style w:type="character" w:customStyle="1" w:styleId="HeaderChar">
    <w:name w:val="Header Char"/>
    <w:basedOn w:val="DefaultParagraphFont"/>
    <w:link w:val="Header"/>
    <w:uiPriority w:val="99"/>
    <w:rsid w:val="000E6CFF"/>
  </w:style>
  <w:style w:type="paragraph" w:styleId="Footer">
    <w:name w:val="footer"/>
    <w:basedOn w:val="Normal"/>
    <w:link w:val="FooterChar"/>
    <w:uiPriority w:val="99"/>
    <w:unhideWhenUsed/>
    <w:rsid w:val="000E6CFF"/>
    <w:pPr>
      <w:tabs>
        <w:tab w:val="center" w:pos="4513"/>
        <w:tab w:val="right" w:pos="9026"/>
      </w:tabs>
    </w:pPr>
  </w:style>
  <w:style w:type="character" w:customStyle="1" w:styleId="FooterChar">
    <w:name w:val="Footer Char"/>
    <w:basedOn w:val="DefaultParagraphFont"/>
    <w:link w:val="Footer"/>
    <w:uiPriority w:val="99"/>
    <w:rsid w:val="000E6CFF"/>
  </w:style>
  <w:style w:type="paragraph" w:styleId="BalloonText">
    <w:name w:val="Balloon Text"/>
    <w:basedOn w:val="Normal"/>
    <w:link w:val="BalloonTextChar"/>
    <w:uiPriority w:val="99"/>
    <w:semiHidden/>
    <w:unhideWhenUsed/>
    <w:rsid w:val="002F2186"/>
    <w:rPr>
      <w:rFonts w:ascii="Tahoma" w:hAnsi="Tahoma" w:cs="Tahoma"/>
      <w:sz w:val="16"/>
      <w:szCs w:val="16"/>
    </w:rPr>
  </w:style>
  <w:style w:type="character" w:customStyle="1" w:styleId="BalloonTextChar">
    <w:name w:val="Balloon Text Char"/>
    <w:basedOn w:val="DefaultParagraphFont"/>
    <w:link w:val="BalloonText"/>
    <w:uiPriority w:val="99"/>
    <w:semiHidden/>
    <w:rsid w:val="002F2186"/>
    <w:rPr>
      <w:rFonts w:ascii="Tahoma" w:hAnsi="Tahoma" w:cs="Tahoma"/>
      <w:sz w:val="16"/>
      <w:szCs w:val="16"/>
    </w:rPr>
  </w:style>
  <w:style w:type="paragraph" w:customStyle="1" w:styleId="Default">
    <w:name w:val="Default"/>
    <w:rsid w:val="00C25E63"/>
    <w:pPr>
      <w:autoSpaceDE w:val="0"/>
      <w:autoSpaceDN w:val="0"/>
      <w:adjustRightInd w:val="0"/>
    </w:pPr>
    <w:rPr>
      <w:rFonts w:ascii="Times New Roman" w:hAnsi="Times New Roman" w:cs="Times New Roman"/>
      <w:color w:val="000000"/>
      <w:lang w:val="en-AU"/>
    </w:rPr>
  </w:style>
  <w:style w:type="character" w:styleId="CommentReference">
    <w:name w:val="annotation reference"/>
    <w:basedOn w:val="DefaultParagraphFont"/>
    <w:uiPriority w:val="99"/>
    <w:semiHidden/>
    <w:unhideWhenUsed/>
    <w:rsid w:val="00317269"/>
    <w:rPr>
      <w:sz w:val="16"/>
      <w:szCs w:val="16"/>
    </w:rPr>
  </w:style>
  <w:style w:type="paragraph" w:styleId="CommentText">
    <w:name w:val="annotation text"/>
    <w:basedOn w:val="Normal"/>
    <w:link w:val="CommentTextChar"/>
    <w:uiPriority w:val="99"/>
    <w:semiHidden/>
    <w:unhideWhenUsed/>
    <w:rsid w:val="00317269"/>
    <w:rPr>
      <w:sz w:val="20"/>
      <w:szCs w:val="20"/>
    </w:rPr>
  </w:style>
  <w:style w:type="character" w:customStyle="1" w:styleId="CommentTextChar">
    <w:name w:val="Comment Text Char"/>
    <w:basedOn w:val="DefaultParagraphFont"/>
    <w:link w:val="CommentText"/>
    <w:uiPriority w:val="99"/>
    <w:semiHidden/>
    <w:rsid w:val="00317269"/>
    <w:rPr>
      <w:sz w:val="20"/>
      <w:szCs w:val="20"/>
    </w:rPr>
  </w:style>
  <w:style w:type="paragraph" w:styleId="CommentSubject">
    <w:name w:val="annotation subject"/>
    <w:basedOn w:val="CommentText"/>
    <w:next w:val="CommentText"/>
    <w:link w:val="CommentSubjectChar"/>
    <w:uiPriority w:val="99"/>
    <w:semiHidden/>
    <w:unhideWhenUsed/>
    <w:rsid w:val="00317269"/>
    <w:rPr>
      <w:b/>
      <w:bCs/>
    </w:rPr>
  </w:style>
  <w:style w:type="character" w:customStyle="1" w:styleId="CommentSubjectChar">
    <w:name w:val="Comment Subject Char"/>
    <w:basedOn w:val="CommentTextChar"/>
    <w:link w:val="CommentSubject"/>
    <w:uiPriority w:val="99"/>
    <w:semiHidden/>
    <w:rsid w:val="00317269"/>
    <w:rPr>
      <w:b/>
      <w:bCs/>
      <w:sz w:val="20"/>
      <w:szCs w:val="20"/>
    </w:rPr>
  </w:style>
  <w:style w:type="character" w:styleId="BookTitle">
    <w:name w:val="Book Title"/>
    <w:basedOn w:val="DefaultParagraphFont"/>
    <w:uiPriority w:val="33"/>
    <w:qFormat/>
    <w:rsid w:val="004727BB"/>
    <w:rPr>
      <w:b/>
      <w:bCs/>
      <w:smallCaps/>
      <w:spacing w:val="5"/>
    </w:rPr>
  </w:style>
  <w:style w:type="table" w:styleId="TableGrid">
    <w:name w:val="Table Grid"/>
    <w:basedOn w:val="TableNormal"/>
    <w:uiPriority w:val="59"/>
    <w:rsid w:val="004727BB"/>
    <w:rPr>
      <w:rFonts w:ascii="Times New Roman" w:eastAsia="Calibri"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401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092408">
      <w:bodyDiv w:val="1"/>
      <w:marLeft w:val="0"/>
      <w:marRight w:val="0"/>
      <w:marTop w:val="0"/>
      <w:marBottom w:val="0"/>
      <w:divBdr>
        <w:top w:val="none" w:sz="0" w:space="0" w:color="auto"/>
        <w:left w:val="none" w:sz="0" w:space="0" w:color="auto"/>
        <w:bottom w:val="none" w:sz="0" w:space="0" w:color="auto"/>
        <w:right w:val="none" w:sz="0" w:space="0" w:color="auto"/>
      </w:divBdr>
      <w:divsChild>
        <w:div w:id="1163547578">
          <w:marLeft w:val="0"/>
          <w:marRight w:val="0"/>
          <w:marTop w:val="0"/>
          <w:marBottom w:val="0"/>
          <w:divBdr>
            <w:top w:val="none" w:sz="0" w:space="0" w:color="auto"/>
            <w:left w:val="none" w:sz="0" w:space="0" w:color="auto"/>
            <w:bottom w:val="none" w:sz="0" w:space="0" w:color="auto"/>
            <w:right w:val="none" w:sz="0" w:space="0" w:color="auto"/>
          </w:divBdr>
          <w:divsChild>
            <w:div w:id="1289242237">
              <w:marLeft w:val="0"/>
              <w:marRight w:val="0"/>
              <w:marTop w:val="0"/>
              <w:marBottom w:val="0"/>
              <w:divBdr>
                <w:top w:val="none" w:sz="0" w:space="0" w:color="auto"/>
                <w:left w:val="none" w:sz="0" w:space="0" w:color="auto"/>
                <w:bottom w:val="none" w:sz="0" w:space="0" w:color="auto"/>
                <w:right w:val="none" w:sz="0" w:space="0" w:color="auto"/>
              </w:divBdr>
              <w:divsChild>
                <w:div w:id="18188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27621">
      <w:bodyDiv w:val="1"/>
      <w:marLeft w:val="0"/>
      <w:marRight w:val="0"/>
      <w:marTop w:val="0"/>
      <w:marBottom w:val="0"/>
      <w:divBdr>
        <w:top w:val="none" w:sz="0" w:space="0" w:color="auto"/>
        <w:left w:val="none" w:sz="0" w:space="0" w:color="auto"/>
        <w:bottom w:val="none" w:sz="0" w:space="0" w:color="auto"/>
        <w:right w:val="none" w:sz="0" w:space="0" w:color="auto"/>
      </w:divBdr>
      <w:divsChild>
        <w:div w:id="1994403561">
          <w:marLeft w:val="0"/>
          <w:marRight w:val="0"/>
          <w:marTop w:val="0"/>
          <w:marBottom w:val="0"/>
          <w:divBdr>
            <w:top w:val="none" w:sz="0" w:space="0" w:color="auto"/>
            <w:left w:val="none" w:sz="0" w:space="0" w:color="auto"/>
            <w:bottom w:val="none" w:sz="0" w:space="0" w:color="auto"/>
            <w:right w:val="none" w:sz="0" w:space="0" w:color="auto"/>
          </w:divBdr>
          <w:divsChild>
            <w:div w:id="1139878391">
              <w:marLeft w:val="0"/>
              <w:marRight w:val="0"/>
              <w:marTop w:val="0"/>
              <w:marBottom w:val="15"/>
              <w:divBdr>
                <w:top w:val="none" w:sz="0" w:space="0" w:color="auto"/>
                <w:left w:val="none" w:sz="0" w:space="0" w:color="auto"/>
                <w:bottom w:val="none" w:sz="0" w:space="0" w:color="auto"/>
                <w:right w:val="none" w:sz="0" w:space="0" w:color="auto"/>
              </w:divBdr>
              <w:divsChild>
                <w:div w:id="101072051">
                  <w:marLeft w:val="0"/>
                  <w:marRight w:val="0"/>
                  <w:marTop w:val="0"/>
                  <w:marBottom w:val="0"/>
                  <w:divBdr>
                    <w:top w:val="none" w:sz="0" w:space="0" w:color="auto"/>
                    <w:left w:val="none" w:sz="0" w:space="0" w:color="auto"/>
                    <w:bottom w:val="none" w:sz="0" w:space="0" w:color="auto"/>
                    <w:right w:val="none" w:sz="0" w:space="0" w:color="auto"/>
                  </w:divBdr>
                  <w:divsChild>
                    <w:div w:id="395202946">
                      <w:marLeft w:val="0"/>
                      <w:marRight w:val="0"/>
                      <w:marTop w:val="0"/>
                      <w:marBottom w:val="0"/>
                      <w:divBdr>
                        <w:top w:val="none" w:sz="0" w:space="0" w:color="auto"/>
                        <w:left w:val="none" w:sz="0" w:space="0" w:color="auto"/>
                        <w:bottom w:val="none" w:sz="0" w:space="0" w:color="auto"/>
                        <w:right w:val="none" w:sz="0" w:space="0" w:color="auto"/>
                      </w:divBdr>
                      <w:divsChild>
                        <w:div w:id="1080910315">
                          <w:marLeft w:val="0"/>
                          <w:marRight w:val="0"/>
                          <w:marTop w:val="0"/>
                          <w:marBottom w:val="0"/>
                          <w:divBdr>
                            <w:top w:val="none" w:sz="0" w:space="0" w:color="auto"/>
                            <w:left w:val="none" w:sz="0" w:space="0" w:color="auto"/>
                            <w:bottom w:val="none" w:sz="0" w:space="0" w:color="auto"/>
                            <w:right w:val="none" w:sz="0" w:space="0" w:color="auto"/>
                          </w:divBdr>
                          <w:divsChild>
                            <w:div w:id="1000962628">
                              <w:marLeft w:val="0"/>
                              <w:marRight w:val="0"/>
                              <w:marTop w:val="0"/>
                              <w:marBottom w:val="0"/>
                              <w:divBdr>
                                <w:top w:val="none" w:sz="0" w:space="0" w:color="auto"/>
                                <w:left w:val="none" w:sz="0" w:space="0" w:color="auto"/>
                                <w:bottom w:val="none" w:sz="0" w:space="0" w:color="auto"/>
                                <w:right w:val="none" w:sz="0" w:space="0" w:color="auto"/>
                              </w:divBdr>
                              <w:divsChild>
                                <w:div w:id="1914654233">
                                  <w:marLeft w:val="0"/>
                                  <w:marRight w:val="0"/>
                                  <w:marTop w:val="0"/>
                                  <w:marBottom w:val="0"/>
                                  <w:divBdr>
                                    <w:top w:val="single" w:sz="2" w:space="0" w:color="F0F0F0"/>
                                    <w:left w:val="none" w:sz="0" w:space="0" w:color="auto"/>
                                    <w:bottom w:val="none" w:sz="0" w:space="0" w:color="auto"/>
                                    <w:right w:val="none" w:sz="0" w:space="0" w:color="auto"/>
                                  </w:divBdr>
                                  <w:divsChild>
                                    <w:div w:id="326518655">
                                      <w:marLeft w:val="0"/>
                                      <w:marRight w:val="0"/>
                                      <w:marTop w:val="0"/>
                                      <w:marBottom w:val="0"/>
                                      <w:divBdr>
                                        <w:top w:val="none" w:sz="0" w:space="0" w:color="auto"/>
                                        <w:left w:val="none" w:sz="0" w:space="0" w:color="auto"/>
                                        <w:bottom w:val="none" w:sz="0" w:space="0" w:color="auto"/>
                                        <w:right w:val="none" w:sz="0" w:space="0" w:color="auto"/>
                                      </w:divBdr>
                                      <w:divsChild>
                                        <w:div w:id="2031056451">
                                          <w:marLeft w:val="0"/>
                                          <w:marRight w:val="0"/>
                                          <w:marTop w:val="0"/>
                                          <w:marBottom w:val="0"/>
                                          <w:divBdr>
                                            <w:top w:val="none" w:sz="0" w:space="0" w:color="auto"/>
                                            <w:left w:val="none" w:sz="0" w:space="0" w:color="auto"/>
                                            <w:bottom w:val="none" w:sz="0" w:space="0" w:color="auto"/>
                                            <w:right w:val="none" w:sz="0" w:space="0" w:color="auto"/>
                                          </w:divBdr>
                                          <w:divsChild>
                                            <w:div w:id="1318267229">
                                              <w:marLeft w:val="0"/>
                                              <w:marRight w:val="0"/>
                                              <w:marTop w:val="0"/>
                                              <w:marBottom w:val="0"/>
                                              <w:divBdr>
                                                <w:top w:val="none" w:sz="0" w:space="0" w:color="auto"/>
                                                <w:left w:val="none" w:sz="0" w:space="0" w:color="auto"/>
                                                <w:bottom w:val="none" w:sz="0" w:space="0" w:color="auto"/>
                                                <w:right w:val="none" w:sz="0" w:space="0" w:color="auto"/>
                                              </w:divBdr>
                                              <w:divsChild>
                                                <w:div w:id="656030382">
                                                  <w:marLeft w:val="0"/>
                                                  <w:marRight w:val="0"/>
                                                  <w:marTop w:val="0"/>
                                                  <w:marBottom w:val="0"/>
                                                  <w:divBdr>
                                                    <w:top w:val="none" w:sz="0" w:space="0" w:color="auto"/>
                                                    <w:left w:val="none" w:sz="0" w:space="0" w:color="auto"/>
                                                    <w:bottom w:val="none" w:sz="0" w:space="0" w:color="auto"/>
                                                    <w:right w:val="none" w:sz="0" w:space="0" w:color="auto"/>
                                                  </w:divBdr>
                                                  <w:divsChild>
                                                    <w:div w:id="1281381653">
                                                      <w:marLeft w:val="0"/>
                                                      <w:marRight w:val="0"/>
                                                      <w:marTop w:val="0"/>
                                                      <w:marBottom w:val="0"/>
                                                      <w:divBdr>
                                                        <w:top w:val="none" w:sz="0" w:space="0" w:color="auto"/>
                                                        <w:left w:val="none" w:sz="0" w:space="0" w:color="auto"/>
                                                        <w:bottom w:val="none" w:sz="0" w:space="0" w:color="auto"/>
                                                        <w:right w:val="none" w:sz="0" w:space="0" w:color="auto"/>
                                                      </w:divBdr>
                                                      <w:divsChild>
                                                        <w:div w:id="1997763547">
                                                          <w:marLeft w:val="0"/>
                                                          <w:marRight w:val="0"/>
                                                          <w:marTop w:val="0"/>
                                                          <w:marBottom w:val="0"/>
                                                          <w:divBdr>
                                                            <w:top w:val="none" w:sz="0" w:space="0" w:color="auto"/>
                                                            <w:left w:val="none" w:sz="0" w:space="0" w:color="auto"/>
                                                            <w:bottom w:val="none" w:sz="0" w:space="0" w:color="auto"/>
                                                            <w:right w:val="none" w:sz="0" w:space="0" w:color="auto"/>
                                                          </w:divBdr>
                                                          <w:divsChild>
                                                            <w:div w:id="2105298485">
                                                              <w:marLeft w:val="0"/>
                                                              <w:marRight w:val="0"/>
                                                              <w:marTop w:val="0"/>
                                                              <w:marBottom w:val="0"/>
                                                              <w:divBdr>
                                                                <w:top w:val="none" w:sz="0" w:space="0" w:color="auto"/>
                                                                <w:left w:val="none" w:sz="0" w:space="0" w:color="auto"/>
                                                                <w:bottom w:val="none" w:sz="0" w:space="0" w:color="auto"/>
                                                                <w:right w:val="none" w:sz="0" w:space="0" w:color="auto"/>
                                                              </w:divBdr>
                                                              <w:divsChild>
                                                                <w:div w:id="492988163">
                                                                  <w:marLeft w:val="0"/>
                                                                  <w:marRight w:val="0"/>
                                                                  <w:marTop w:val="450"/>
                                                                  <w:marBottom w:val="450"/>
                                                                  <w:divBdr>
                                                                    <w:top w:val="none" w:sz="0" w:space="0" w:color="auto"/>
                                                                    <w:left w:val="none" w:sz="0" w:space="0" w:color="auto"/>
                                                                    <w:bottom w:val="none" w:sz="0" w:space="0" w:color="auto"/>
                                                                    <w:right w:val="none" w:sz="0" w:space="0" w:color="auto"/>
                                                                  </w:divBdr>
                                                                  <w:divsChild>
                                                                    <w:div w:id="92096988">
                                                                      <w:marLeft w:val="0"/>
                                                                      <w:marRight w:val="0"/>
                                                                      <w:marTop w:val="0"/>
                                                                      <w:marBottom w:val="0"/>
                                                                      <w:divBdr>
                                                                        <w:top w:val="none" w:sz="0" w:space="0" w:color="auto"/>
                                                                        <w:left w:val="none" w:sz="0" w:space="0" w:color="auto"/>
                                                                        <w:bottom w:val="none" w:sz="0" w:space="0" w:color="auto"/>
                                                                        <w:right w:val="none" w:sz="0" w:space="0" w:color="auto"/>
                                                                      </w:divBdr>
                                                                      <w:divsChild>
                                                                        <w:div w:id="1281960896">
                                                                          <w:marLeft w:val="0"/>
                                                                          <w:marRight w:val="0"/>
                                                                          <w:marTop w:val="0"/>
                                                                          <w:marBottom w:val="0"/>
                                                                          <w:divBdr>
                                                                            <w:top w:val="none" w:sz="0" w:space="0" w:color="auto"/>
                                                                            <w:left w:val="none" w:sz="0" w:space="0" w:color="auto"/>
                                                                            <w:bottom w:val="none" w:sz="0" w:space="0" w:color="auto"/>
                                                                            <w:right w:val="none" w:sz="0" w:space="0" w:color="auto"/>
                                                                          </w:divBdr>
                                                                          <w:divsChild>
                                                                            <w:div w:id="535197359">
                                                                              <w:marLeft w:val="0"/>
                                                                              <w:marRight w:val="0"/>
                                                                              <w:marTop w:val="0"/>
                                                                              <w:marBottom w:val="0"/>
                                                                              <w:divBdr>
                                                                                <w:top w:val="none" w:sz="0" w:space="0" w:color="auto"/>
                                                                                <w:left w:val="none" w:sz="0" w:space="0" w:color="auto"/>
                                                                                <w:bottom w:val="none" w:sz="0" w:space="0" w:color="auto"/>
                                                                                <w:right w:val="none" w:sz="0" w:space="0" w:color="auto"/>
                                                                              </w:divBdr>
                                                                              <w:divsChild>
                                                                                <w:div w:id="1041631463">
                                                                                  <w:marLeft w:val="0"/>
                                                                                  <w:marRight w:val="0"/>
                                                                                  <w:marTop w:val="0"/>
                                                                                  <w:marBottom w:val="0"/>
                                                                                  <w:divBdr>
                                                                                    <w:top w:val="none" w:sz="0" w:space="0" w:color="auto"/>
                                                                                    <w:left w:val="none" w:sz="0" w:space="0" w:color="auto"/>
                                                                                    <w:bottom w:val="none" w:sz="0" w:space="0" w:color="auto"/>
                                                                                    <w:right w:val="none" w:sz="0" w:space="0" w:color="auto"/>
                                                                                  </w:divBdr>
                                                                                  <w:divsChild>
                                                                                    <w:div w:id="1541354561">
                                                                                      <w:marLeft w:val="0"/>
                                                                                      <w:marRight w:val="0"/>
                                                                                      <w:marTop w:val="0"/>
                                                                                      <w:marBottom w:val="375"/>
                                                                                      <w:divBdr>
                                                                                        <w:top w:val="none" w:sz="0" w:space="0" w:color="auto"/>
                                                                                        <w:left w:val="none" w:sz="0" w:space="0" w:color="auto"/>
                                                                                        <w:bottom w:val="none" w:sz="0" w:space="0" w:color="auto"/>
                                                                                        <w:right w:val="none" w:sz="0" w:space="0" w:color="auto"/>
                                                                                      </w:divBdr>
                                                                                      <w:divsChild>
                                                                                        <w:div w:id="849181740">
                                                                                          <w:marLeft w:val="0"/>
                                                                                          <w:marRight w:val="0"/>
                                                                                          <w:marTop w:val="0"/>
                                                                                          <w:marBottom w:val="0"/>
                                                                                          <w:divBdr>
                                                                                            <w:top w:val="none" w:sz="0" w:space="0" w:color="auto"/>
                                                                                            <w:left w:val="none" w:sz="0" w:space="0" w:color="auto"/>
                                                                                            <w:bottom w:val="none" w:sz="0" w:space="0" w:color="auto"/>
                                                                                            <w:right w:val="none" w:sz="0" w:space="0" w:color="auto"/>
                                                                                          </w:divBdr>
                                                                                          <w:divsChild>
                                                                                            <w:div w:id="148296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4820267">
      <w:bodyDiv w:val="1"/>
      <w:marLeft w:val="0"/>
      <w:marRight w:val="0"/>
      <w:marTop w:val="0"/>
      <w:marBottom w:val="0"/>
      <w:divBdr>
        <w:top w:val="none" w:sz="0" w:space="0" w:color="auto"/>
        <w:left w:val="none" w:sz="0" w:space="0" w:color="auto"/>
        <w:bottom w:val="none" w:sz="0" w:space="0" w:color="auto"/>
        <w:right w:val="none" w:sz="0" w:space="0" w:color="auto"/>
      </w:divBdr>
      <w:divsChild>
        <w:div w:id="605120928">
          <w:marLeft w:val="0"/>
          <w:marRight w:val="0"/>
          <w:marTop w:val="0"/>
          <w:marBottom w:val="0"/>
          <w:divBdr>
            <w:top w:val="none" w:sz="0" w:space="0" w:color="auto"/>
            <w:left w:val="none" w:sz="0" w:space="0" w:color="auto"/>
            <w:bottom w:val="none" w:sz="0" w:space="0" w:color="auto"/>
            <w:right w:val="none" w:sz="0" w:space="0" w:color="auto"/>
          </w:divBdr>
          <w:divsChild>
            <w:div w:id="1371683078">
              <w:marLeft w:val="0"/>
              <w:marRight w:val="0"/>
              <w:marTop w:val="0"/>
              <w:marBottom w:val="15"/>
              <w:divBdr>
                <w:top w:val="none" w:sz="0" w:space="0" w:color="auto"/>
                <w:left w:val="none" w:sz="0" w:space="0" w:color="auto"/>
                <w:bottom w:val="none" w:sz="0" w:space="0" w:color="auto"/>
                <w:right w:val="none" w:sz="0" w:space="0" w:color="auto"/>
              </w:divBdr>
              <w:divsChild>
                <w:div w:id="789205780">
                  <w:marLeft w:val="0"/>
                  <w:marRight w:val="0"/>
                  <w:marTop w:val="0"/>
                  <w:marBottom w:val="0"/>
                  <w:divBdr>
                    <w:top w:val="none" w:sz="0" w:space="0" w:color="auto"/>
                    <w:left w:val="none" w:sz="0" w:space="0" w:color="auto"/>
                    <w:bottom w:val="none" w:sz="0" w:space="0" w:color="auto"/>
                    <w:right w:val="none" w:sz="0" w:space="0" w:color="auto"/>
                  </w:divBdr>
                  <w:divsChild>
                    <w:div w:id="733158226">
                      <w:marLeft w:val="0"/>
                      <w:marRight w:val="0"/>
                      <w:marTop w:val="0"/>
                      <w:marBottom w:val="0"/>
                      <w:divBdr>
                        <w:top w:val="none" w:sz="0" w:space="0" w:color="auto"/>
                        <w:left w:val="none" w:sz="0" w:space="0" w:color="auto"/>
                        <w:bottom w:val="none" w:sz="0" w:space="0" w:color="auto"/>
                        <w:right w:val="none" w:sz="0" w:space="0" w:color="auto"/>
                      </w:divBdr>
                      <w:divsChild>
                        <w:div w:id="1021393084">
                          <w:marLeft w:val="0"/>
                          <w:marRight w:val="0"/>
                          <w:marTop w:val="0"/>
                          <w:marBottom w:val="0"/>
                          <w:divBdr>
                            <w:top w:val="none" w:sz="0" w:space="0" w:color="auto"/>
                            <w:left w:val="none" w:sz="0" w:space="0" w:color="auto"/>
                            <w:bottom w:val="none" w:sz="0" w:space="0" w:color="auto"/>
                            <w:right w:val="none" w:sz="0" w:space="0" w:color="auto"/>
                          </w:divBdr>
                          <w:divsChild>
                            <w:div w:id="2058160277">
                              <w:marLeft w:val="0"/>
                              <w:marRight w:val="0"/>
                              <w:marTop w:val="0"/>
                              <w:marBottom w:val="0"/>
                              <w:divBdr>
                                <w:top w:val="none" w:sz="0" w:space="0" w:color="auto"/>
                                <w:left w:val="none" w:sz="0" w:space="0" w:color="auto"/>
                                <w:bottom w:val="none" w:sz="0" w:space="0" w:color="auto"/>
                                <w:right w:val="none" w:sz="0" w:space="0" w:color="auto"/>
                              </w:divBdr>
                              <w:divsChild>
                                <w:div w:id="759063405">
                                  <w:marLeft w:val="0"/>
                                  <w:marRight w:val="0"/>
                                  <w:marTop w:val="0"/>
                                  <w:marBottom w:val="0"/>
                                  <w:divBdr>
                                    <w:top w:val="single" w:sz="2" w:space="0" w:color="F0F0F0"/>
                                    <w:left w:val="none" w:sz="0" w:space="0" w:color="auto"/>
                                    <w:bottom w:val="none" w:sz="0" w:space="0" w:color="auto"/>
                                    <w:right w:val="none" w:sz="0" w:space="0" w:color="auto"/>
                                  </w:divBdr>
                                  <w:divsChild>
                                    <w:div w:id="992755844">
                                      <w:marLeft w:val="0"/>
                                      <w:marRight w:val="0"/>
                                      <w:marTop w:val="0"/>
                                      <w:marBottom w:val="0"/>
                                      <w:divBdr>
                                        <w:top w:val="none" w:sz="0" w:space="0" w:color="auto"/>
                                        <w:left w:val="none" w:sz="0" w:space="0" w:color="auto"/>
                                        <w:bottom w:val="none" w:sz="0" w:space="0" w:color="auto"/>
                                        <w:right w:val="none" w:sz="0" w:space="0" w:color="auto"/>
                                      </w:divBdr>
                                      <w:divsChild>
                                        <w:div w:id="926381035">
                                          <w:marLeft w:val="0"/>
                                          <w:marRight w:val="0"/>
                                          <w:marTop w:val="0"/>
                                          <w:marBottom w:val="0"/>
                                          <w:divBdr>
                                            <w:top w:val="none" w:sz="0" w:space="0" w:color="auto"/>
                                            <w:left w:val="none" w:sz="0" w:space="0" w:color="auto"/>
                                            <w:bottom w:val="none" w:sz="0" w:space="0" w:color="auto"/>
                                            <w:right w:val="none" w:sz="0" w:space="0" w:color="auto"/>
                                          </w:divBdr>
                                          <w:divsChild>
                                            <w:div w:id="544487599">
                                              <w:marLeft w:val="0"/>
                                              <w:marRight w:val="0"/>
                                              <w:marTop w:val="0"/>
                                              <w:marBottom w:val="0"/>
                                              <w:divBdr>
                                                <w:top w:val="none" w:sz="0" w:space="0" w:color="auto"/>
                                                <w:left w:val="none" w:sz="0" w:space="0" w:color="auto"/>
                                                <w:bottom w:val="none" w:sz="0" w:space="0" w:color="auto"/>
                                                <w:right w:val="none" w:sz="0" w:space="0" w:color="auto"/>
                                              </w:divBdr>
                                              <w:divsChild>
                                                <w:div w:id="1243640267">
                                                  <w:marLeft w:val="0"/>
                                                  <w:marRight w:val="0"/>
                                                  <w:marTop w:val="0"/>
                                                  <w:marBottom w:val="0"/>
                                                  <w:divBdr>
                                                    <w:top w:val="none" w:sz="0" w:space="0" w:color="auto"/>
                                                    <w:left w:val="none" w:sz="0" w:space="0" w:color="auto"/>
                                                    <w:bottom w:val="none" w:sz="0" w:space="0" w:color="auto"/>
                                                    <w:right w:val="none" w:sz="0" w:space="0" w:color="auto"/>
                                                  </w:divBdr>
                                                  <w:divsChild>
                                                    <w:div w:id="373651813">
                                                      <w:marLeft w:val="0"/>
                                                      <w:marRight w:val="0"/>
                                                      <w:marTop w:val="0"/>
                                                      <w:marBottom w:val="0"/>
                                                      <w:divBdr>
                                                        <w:top w:val="none" w:sz="0" w:space="0" w:color="auto"/>
                                                        <w:left w:val="none" w:sz="0" w:space="0" w:color="auto"/>
                                                        <w:bottom w:val="none" w:sz="0" w:space="0" w:color="auto"/>
                                                        <w:right w:val="none" w:sz="0" w:space="0" w:color="auto"/>
                                                      </w:divBdr>
                                                      <w:divsChild>
                                                        <w:div w:id="280914371">
                                                          <w:marLeft w:val="0"/>
                                                          <w:marRight w:val="0"/>
                                                          <w:marTop w:val="0"/>
                                                          <w:marBottom w:val="0"/>
                                                          <w:divBdr>
                                                            <w:top w:val="none" w:sz="0" w:space="0" w:color="auto"/>
                                                            <w:left w:val="none" w:sz="0" w:space="0" w:color="auto"/>
                                                            <w:bottom w:val="none" w:sz="0" w:space="0" w:color="auto"/>
                                                            <w:right w:val="none" w:sz="0" w:space="0" w:color="auto"/>
                                                          </w:divBdr>
                                                          <w:divsChild>
                                                            <w:div w:id="1087918917">
                                                              <w:marLeft w:val="0"/>
                                                              <w:marRight w:val="0"/>
                                                              <w:marTop w:val="0"/>
                                                              <w:marBottom w:val="0"/>
                                                              <w:divBdr>
                                                                <w:top w:val="none" w:sz="0" w:space="0" w:color="auto"/>
                                                                <w:left w:val="none" w:sz="0" w:space="0" w:color="auto"/>
                                                                <w:bottom w:val="none" w:sz="0" w:space="0" w:color="auto"/>
                                                                <w:right w:val="none" w:sz="0" w:space="0" w:color="auto"/>
                                                              </w:divBdr>
                                                              <w:divsChild>
                                                                <w:div w:id="63963394">
                                                                  <w:marLeft w:val="0"/>
                                                                  <w:marRight w:val="0"/>
                                                                  <w:marTop w:val="450"/>
                                                                  <w:marBottom w:val="450"/>
                                                                  <w:divBdr>
                                                                    <w:top w:val="none" w:sz="0" w:space="0" w:color="auto"/>
                                                                    <w:left w:val="none" w:sz="0" w:space="0" w:color="auto"/>
                                                                    <w:bottom w:val="none" w:sz="0" w:space="0" w:color="auto"/>
                                                                    <w:right w:val="none" w:sz="0" w:space="0" w:color="auto"/>
                                                                  </w:divBdr>
                                                                  <w:divsChild>
                                                                    <w:div w:id="1288856383">
                                                                      <w:marLeft w:val="0"/>
                                                                      <w:marRight w:val="0"/>
                                                                      <w:marTop w:val="0"/>
                                                                      <w:marBottom w:val="0"/>
                                                                      <w:divBdr>
                                                                        <w:top w:val="none" w:sz="0" w:space="0" w:color="auto"/>
                                                                        <w:left w:val="none" w:sz="0" w:space="0" w:color="auto"/>
                                                                        <w:bottom w:val="none" w:sz="0" w:space="0" w:color="auto"/>
                                                                        <w:right w:val="none" w:sz="0" w:space="0" w:color="auto"/>
                                                                      </w:divBdr>
                                                                      <w:divsChild>
                                                                        <w:div w:id="928075220">
                                                                          <w:marLeft w:val="0"/>
                                                                          <w:marRight w:val="0"/>
                                                                          <w:marTop w:val="0"/>
                                                                          <w:marBottom w:val="0"/>
                                                                          <w:divBdr>
                                                                            <w:top w:val="none" w:sz="0" w:space="0" w:color="auto"/>
                                                                            <w:left w:val="none" w:sz="0" w:space="0" w:color="auto"/>
                                                                            <w:bottom w:val="none" w:sz="0" w:space="0" w:color="auto"/>
                                                                            <w:right w:val="none" w:sz="0" w:space="0" w:color="auto"/>
                                                                          </w:divBdr>
                                                                          <w:divsChild>
                                                                            <w:div w:id="1728259626">
                                                                              <w:marLeft w:val="0"/>
                                                                              <w:marRight w:val="0"/>
                                                                              <w:marTop w:val="0"/>
                                                                              <w:marBottom w:val="0"/>
                                                                              <w:divBdr>
                                                                                <w:top w:val="none" w:sz="0" w:space="0" w:color="auto"/>
                                                                                <w:left w:val="none" w:sz="0" w:space="0" w:color="auto"/>
                                                                                <w:bottom w:val="none" w:sz="0" w:space="0" w:color="auto"/>
                                                                                <w:right w:val="none" w:sz="0" w:space="0" w:color="auto"/>
                                                                              </w:divBdr>
                                                                              <w:divsChild>
                                                                                <w:div w:id="1772578402">
                                                                                  <w:marLeft w:val="0"/>
                                                                                  <w:marRight w:val="0"/>
                                                                                  <w:marTop w:val="0"/>
                                                                                  <w:marBottom w:val="0"/>
                                                                                  <w:divBdr>
                                                                                    <w:top w:val="none" w:sz="0" w:space="0" w:color="auto"/>
                                                                                    <w:left w:val="none" w:sz="0" w:space="0" w:color="auto"/>
                                                                                    <w:bottom w:val="none" w:sz="0" w:space="0" w:color="auto"/>
                                                                                    <w:right w:val="none" w:sz="0" w:space="0" w:color="auto"/>
                                                                                  </w:divBdr>
                                                                                  <w:divsChild>
                                                                                    <w:div w:id="1803576880">
                                                                                      <w:marLeft w:val="0"/>
                                                                                      <w:marRight w:val="0"/>
                                                                                      <w:marTop w:val="0"/>
                                                                                      <w:marBottom w:val="375"/>
                                                                                      <w:divBdr>
                                                                                        <w:top w:val="none" w:sz="0" w:space="0" w:color="auto"/>
                                                                                        <w:left w:val="none" w:sz="0" w:space="0" w:color="auto"/>
                                                                                        <w:bottom w:val="none" w:sz="0" w:space="0" w:color="auto"/>
                                                                                        <w:right w:val="none" w:sz="0" w:space="0" w:color="auto"/>
                                                                                      </w:divBdr>
                                                                                      <w:divsChild>
                                                                                        <w:div w:id="1898978152">
                                                                                          <w:marLeft w:val="0"/>
                                                                                          <w:marRight w:val="0"/>
                                                                                          <w:marTop w:val="0"/>
                                                                                          <w:marBottom w:val="0"/>
                                                                                          <w:divBdr>
                                                                                            <w:top w:val="none" w:sz="0" w:space="0" w:color="auto"/>
                                                                                            <w:left w:val="none" w:sz="0" w:space="0" w:color="auto"/>
                                                                                            <w:bottom w:val="none" w:sz="0" w:space="0" w:color="auto"/>
                                                                                            <w:right w:val="none" w:sz="0" w:space="0" w:color="auto"/>
                                                                                          </w:divBdr>
                                                                                          <w:divsChild>
                                                                                            <w:div w:id="1255895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602188">
      <w:bodyDiv w:val="1"/>
      <w:marLeft w:val="0"/>
      <w:marRight w:val="0"/>
      <w:marTop w:val="0"/>
      <w:marBottom w:val="0"/>
      <w:divBdr>
        <w:top w:val="none" w:sz="0" w:space="0" w:color="auto"/>
        <w:left w:val="none" w:sz="0" w:space="0" w:color="auto"/>
        <w:bottom w:val="none" w:sz="0" w:space="0" w:color="auto"/>
        <w:right w:val="none" w:sz="0" w:space="0" w:color="auto"/>
      </w:divBdr>
      <w:divsChild>
        <w:div w:id="1323195524">
          <w:marLeft w:val="0"/>
          <w:marRight w:val="0"/>
          <w:marTop w:val="0"/>
          <w:marBottom w:val="0"/>
          <w:divBdr>
            <w:top w:val="none" w:sz="0" w:space="0" w:color="auto"/>
            <w:left w:val="none" w:sz="0" w:space="0" w:color="auto"/>
            <w:bottom w:val="none" w:sz="0" w:space="0" w:color="auto"/>
            <w:right w:val="none" w:sz="0" w:space="0" w:color="auto"/>
          </w:divBdr>
          <w:divsChild>
            <w:div w:id="1157890093">
              <w:marLeft w:val="0"/>
              <w:marRight w:val="0"/>
              <w:marTop w:val="0"/>
              <w:marBottom w:val="0"/>
              <w:divBdr>
                <w:top w:val="none" w:sz="0" w:space="0" w:color="auto"/>
                <w:left w:val="none" w:sz="0" w:space="0" w:color="auto"/>
                <w:bottom w:val="none" w:sz="0" w:space="0" w:color="auto"/>
                <w:right w:val="none" w:sz="0" w:space="0" w:color="auto"/>
              </w:divBdr>
              <w:divsChild>
                <w:div w:id="17014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90799-EDA6-447B-831E-AA0D923C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8889</Words>
  <Characters>50668</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Baked in South Melbourne</Company>
  <LinksUpToDate>false</LinksUpToDate>
  <CharactersWithSpaces>59439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Virgona</dc:creator>
  <cp:keywords/>
  <cp:lastModifiedBy>Freya Dougan</cp:lastModifiedBy>
  <cp:revision>2</cp:revision>
  <cp:lastPrinted>2014-02-07T05:54:00Z</cp:lastPrinted>
  <dcterms:created xsi:type="dcterms:W3CDTF">2015-09-22T01:49:00Z</dcterms:created>
  <dcterms:modified xsi:type="dcterms:W3CDTF">2015-09-22T01:49:00Z</dcterms:modified>
</cp:coreProperties>
</file>