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7B4C99ED"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9809E5">
        <w:rPr>
          <w:rFonts w:ascii="Book Antiqua" w:hAnsi="Book Antiqua"/>
          <w:b/>
          <w:color w:val="000000"/>
          <w:sz w:val="28"/>
        </w:rPr>
        <w:t>5</w:t>
      </w:r>
    </w:p>
    <w:p w14:paraId="66779301" w14:textId="566B1DB5" w:rsidR="00271B59" w:rsidRDefault="009809E5"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 xml:space="preserve">Professional Liability </w:t>
      </w:r>
      <w:r w:rsidR="000117C7">
        <w:rPr>
          <w:rFonts w:ascii="Book Antiqua" w:hAnsi="Book Antiqua"/>
          <w:b/>
          <w:color w:val="000000"/>
          <w:sz w:val="28"/>
        </w:rPr>
        <w:t>List</w:t>
      </w:r>
    </w:p>
    <w:p w14:paraId="02D8B7A1" w14:textId="77777777" w:rsidR="00CD0331" w:rsidRPr="005A7E3F" w:rsidRDefault="00CD0331" w:rsidP="00CD0331">
      <w:pPr>
        <w:autoSpaceDE w:val="0"/>
        <w:autoSpaceDN w:val="0"/>
        <w:adjustRightInd w:val="0"/>
        <w:spacing w:before="120" w:after="120"/>
        <w:jc w:val="center"/>
        <w:rPr>
          <w:rFonts w:ascii="Book Antiqua" w:hAnsi="Book Antiqua"/>
          <w:b/>
          <w:color w:val="000000"/>
        </w:rPr>
      </w:pPr>
    </w:p>
    <w:p w14:paraId="0579C033" w14:textId="4644D5EC" w:rsidR="00A50A22" w:rsidRPr="005A7E3F" w:rsidRDefault="00A50A22" w:rsidP="00AC5DB9">
      <w:pPr>
        <w:pStyle w:val="ListParagraph"/>
        <w:keepNext/>
        <w:numPr>
          <w:ilvl w:val="0"/>
          <w:numId w:val="2"/>
        </w:numPr>
        <w:autoSpaceDE w:val="0"/>
        <w:autoSpaceDN w:val="0"/>
        <w:adjustRightInd w:val="0"/>
        <w:spacing w:before="120" w:after="120"/>
        <w:jc w:val="both"/>
        <w:rPr>
          <w:rFonts w:ascii="Book Antiqua" w:hAnsi="Book Antiqua"/>
          <w:b/>
          <w:color w:val="000000"/>
          <w:sz w:val="24"/>
          <w:szCs w:val="24"/>
        </w:rPr>
      </w:pPr>
      <w:r w:rsidRPr="005A7E3F">
        <w:rPr>
          <w:rFonts w:ascii="Book Antiqua" w:hAnsi="Book Antiqua"/>
          <w:b/>
          <w:sz w:val="24"/>
          <w:szCs w:val="24"/>
        </w:rPr>
        <w:t>INTRODUCTION</w:t>
      </w:r>
    </w:p>
    <w:p w14:paraId="48A07A23" w14:textId="77777777" w:rsidR="00A50A22" w:rsidRPr="005A7E3F" w:rsidRDefault="00A50A22" w:rsidP="00AC5DB9">
      <w:pPr>
        <w:pStyle w:val="ListParagraph"/>
        <w:numPr>
          <w:ilvl w:val="1"/>
          <w:numId w:val="2"/>
        </w:numPr>
        <w:spacing w:before="120" w:after="120"/>
        <w:jc w:val="both"/>
        <w:rPr>
          <w:rFonts w:ascii="Book Antiqua" w:hAnsi="Book Antiqua"/>
          <w:sz w:val="24"/>
          <w:szCs w:val="24"/>
        </w:rPr>
      </w:pPr>
      <w:r w:rsidRPr="005A7E3F">
        <w:rPr>
          <w:rFonts w:ascii="Book Antiqua" w:hAnsi="Book Antiqua"/>
          <w:sz w:val="24"/>
          <w:szCs w:val="24"/>
        </w:rPr>
        <w:t>The Chief Justice has authorised the issue of the following Practice Note.</w:t>
      </w:r>
    </w:p>
    <w:p w14:paraId="4F7A6C80" w14:textId="1A472E0F" w:rsidR="00A50A22" w:rsidRPr="005A7E3F" w:rsidRDefault="00A50A22" w:rsidP="00AC5DB9">
      <w:pPr>
        <w:pStyle w:val="ListParagraph"/>
        <w:numPr>
          <w:ilvl w:val="1"/>
          <w:numId w:val="2"/>
        </w:numPr>
        <w:spacing w:before="120" w:after="120"/>
        <w:jc w:val="both"/>
        <w:rPr>
          <w:rFonts w:ascii="Book Antiqua" w:hAnsi="Book Antiqua"/>
          <w:sz w:val="24"/>
          <w:szCs w:val="24"/>
        </w:rPr>
      </w:pPr>
      <w:r w:rsidRPr="005A7E3F">
        <w:rPr>
          <w:rFonts w:ascii="Book Antiqua" w:hAnsi="Book Antiqua"/>
          <w:sz w:val="24"/>
          <w:szCs w:val="24"/>
        </w:rPr>
        <w:t>The purpose of this Practice Note is to describe the procedures to be followed in</w:t>
      </w:r>
      <w:r w:rsidR="00641C0A" w:rsidRPr="005A7E3F">
        <w:rPr>
          <w:rFonts w:ascii="Book Antiqua" w:hAnsi="Book Antiqua"/>
          <w:sz w:val="24"/>
          <w:szCs w:val="24"/>
        </w:rPr>
        <w:t xml:space="preserve"> the</w:t>
      </w:r>
      <w:r w:rsidRPr="005A7E3F">
        <w:rPr>
          <w:rFonts w:ascii="Book Antiqua" w:hAnsi="Book Antiqua"/>
          <w:sz w:val="24"/>
          <w:szCs w:val="24"/>
        </w:rPr>
        <w:t xml:space="preserve"> </w:t>
      </w:r>
      <w:r w:rsidR="00807D47" w:rsidRPr="005A7E3F">
        <w:rPr>
          <w:rFonts w:ascii="Book Antiqua" w:hAnsi="Book Antiqua"/>
          <w:sz w:val="24"/>
          <w:szCs w:val="24"/>
        </w:rPr>
        <w:t>Professional Liability</w:t>
      </w:r>
      <w:r w:rsidR="0095180B" w:rsidRPr="005A7E3F">
        <w:rPr>
          <w:rFonts w:ascii="Book Antiqua" w:hAnsi="Book Antiqua"/>
          <w:sz w:val="24"/>
          <w:szCs w:val="24"/>
        </w:rPr>
        <w:t xml:space="preserve"> </w:t>
      </w:r>
      <w:r w:rsidRPr="005A7E3F">
        <w:rPr>
          <w:rFonts w:ascii="Book Antiqua" w:hAnsi="Book Antiqua"/>
          <w:sz w:val="24"/>
          <w:szCs w:val="24"/>
        </w:rPr>
        <w:t xml:space="preserve">List. </w:t>
      </w:r>
      <w:r w:rsidR="00465282">
        <w:rPr>
          <w:rFonts w:ascii="Book Antiqua" w:hAnsi="Book Antiqua"/>
          <w:sz w:val="24"/>
          <w:szCs w:val="24"/>
        </w:rPr>
        <w:t xml:space="preserve"> </w:t>
      </w:r>
      <w:r w:rsidRPr="005A7E3F">
        <w:rPr>
          <w:rFonts w:ascii="Book Antiqua" w:hAnsi="Book Antiqua"/>
          <w:sz w:val="24"/>
          <w:szCs w:val="24"/>
        </w:rPr>
        <w:t>The List is a case management list within the Common Law Division of the Court.</w:t>
      </w:r>
    </w:p>
    <w:p w14:paraId="26A157E6" w14:textId="33245F8D" w:rsidR="00A50A22" w:rsidRPr="005A7E3F" w:rsidRDefault="00730BC6" w:rsidP="00AC5DB9">
      <w:pPr>
        <w:pStyle w:val="ListParagraph"/>
        <w:numPr>
          <w:ilvl w:val="1"/>
          <w:numId w:val="2"/>
        </w:numPr>
        <w:spacing w:before="120" w:after="120"/>
        <w:jc w:val="both"/>
        <w:rPr>
          <w:rFonts w:ascii="Book Antiqua" w:hAnsi="Book Antiqua"/>
          <w:sz w:val="24"/>
          <w:szCs w:val="24"/>
        </w:rPr>
      </w:pPr>
      <w:r w:rsidRPr="005A7E3F">
        <w:rPr>
          <w:rFonts w:ascii="Book Antiqua" w:hAnsi="Book Antiqua"/>
          <w:sz w:val="24"/>
          <w:szCs w:val="24"/>
        </w:rPr>
        <w:t>The purpose of the List is to provide for the just and efficient determination of eligible proceedings, through early identification of the substantial questions in controversy and flexible adoption of appropriate procedures</w:t>
      </w:r>
      <w:r w:rsidR="00A50A22" w:rsidRPr="005A7E3F">
        <w:rPr>
          <w:rFonts w:ascii="Book Antiqua" w:hAnsi="Book Antiqua"/>
          <w:sz w:val="24"/>
          <w:szCs w:val="24"/>
        </w:rPr>
        <w:t>.</w:t>
      </w:r>
    </w:p>
    <w:p w14:paraId="5420E1BE" w14:textId="77777777" w:rsidR="00A50A22" w:rsidRPr="005A7E3F" w:rsidRDefault="00A50A22" w:rsidP="00AC5DB9">
      <w:pPr>
        <w:spacing w:before="120" w:after="120"/>
        <w:jc w:val="both"/>
        <w:rPr>
          <w:rFonts w:ascii="Book Antiqua" w:hAnsi="Book Antiqua"/>
        </w:rPr>
      </w:pPr>
    </w:p>
    <w:p w14:paraId="46B7AF83" w14:textId="26A7C8D0" w:rsidR="00A50A22" w:rsidRPr="005A7E3F" w:rsidRDefault="00A50A22" w:rsidP="00AC5DB9">
      <w:pPr>
        <w:pStyle w:val="ListParagraph"/>
        <w:keepNext/>
        <w:numPr>
          <w:ilvl w:val="0"/>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b/>
          <w:sz w:val="24"/>
          <w:szCs w:val="24"/>
        </w:rPr>
        <w:t>DEFINITIONS</w:t>
      </w:r>
    </w:p>
    <w:p w14:paraId="2E1BCC71" w14:textId="77777777" w:rsidR="00A50A22" w:rsidRPr="005A7E3F" w:rsidRDefault="00A50A22" w:rsidP="00AC5DB9">
      <w:pPr>
        <w:pStyle w:val="ListParagraph"/>
        <w:numPr>
          <w:ilvl w:val="1"/>
          <w:numId w:val="2"/>
        </w:numPr>
        <w:spacing w:before="120" w:after="120"/>
        <w:jc w:val="both"/>
        <w:rPr>
          <w:rFonts w:ascii="Book Antiqua" w:hAnsi="Book Antiqua"/>
          <w:sz w:val="24"/>
          <w:szCs w:val="24"/>
        </w:rPr>
      </w:pPr>
      <w:r w:rsidRPr="005A7E3F">
        <w:rPr>
          <w:rFonts w:ascii="Book Antiqua" w:hAnsi="Book Antiqua"/>
          <w:sz w:val="24"/>
          <w:szCs w:val="24"/>
        </w:rPr>
        <w:t>In this Practice Note:</w:t>
      </w:r>
    </w:p>
    <w:p w14:paraId="1072E935" w14:textId="10A0B81C" w:rsidR="00C95730" w:rsidRPr="005A7E3F" w:rsidRDefault="00C95730" w:rsidP="00AC5DB9">
      <w:pPr>
        <w:pStyle w:val="ListParagraph"/>
        <w:spacing w:before="120" w:after="120"/>
        <w:ind w:left="360" w:firstLine="360"/>
        <w:jc w:val="both"/>
        <w:rPr>
          <w:rFonts w:ascii="Book Antiqua" w:hAnsi="Book Antiqua"/>
          <w:b/>
          <w:i/>
          <w:sz w:val="24"/>
          <w:szCs w:val="24"/>
        </w:rPr>
      </w:pPr>
      <w:r w:rsidRPr="005A7E3F">
        <w:rPr>
          <w:rFonts w:ascii="Book Antiqua" w:hAnsi="Book Antiqua"/>
          <w:b/>
          <w:i/>
          <w:sz w:val="24"/>
          <w:szCs w:val="24"/>
        </w:rPr>
        <w:t>Associate</w:t>
      </w:r>
      <w:r w:rsidRPr="005A7E3F">
        <w:rPr>
          <w:rFonts w:ascii="Book Antiqua" w:hAnsi="Book Antiqua"/>
          <w:sz w:val="24"/>
          <w:szCs w:val="24"/>
        </w:rPr>
        <w:t xml:space="preserve"> means associate to the Judge in Charge of the List;</w:t>
      </w:r>
    </w:p>
    <w:p w14:paraId="3980EA9A" w14:textId="07E278AF" w:rsidR="00807D47" w:rsidRPr="005A7E3F" w:rsidRDefault="00807D47" w:rsidP="00AC5DB9">
      <w:pPr>
        <w:pStyle w:val="ListParagraph"/>
        <w:spacing w:before="120" w:after="120"/>
        <w:ind w:left="1440" w:hanging="720"/>
        <w:jc w:val="both"/>
        <w:rPr>
          <w:rFonts w:ascii="Book Antiqua" w:hAnsi="Book Antiqua"/>
          <w:b/>
          <w:i/>
          <w:sz w:val="24"/>
          <w:szCs w:val="24"/>
        </w:rPr>
      </w:pPr>
      <w:r w:rsidRPr="005A7E3F">
        <w:rPr>
          <w:rFonts w:ascii="Book Antiqua" w:hAnsi="Book Antiqua"/>
          <w:b/>
          <w:i/>
          <w:sz w:val="24"/>
          <w:szCs w:val="24"/>
        </w:rPr>
        <w:t xml:space="preserve">Associate Judge </w:t>
      </w:r>
      <w:r w:rsidR="00465282">
        <w:rPr>
          <w:rFonts w:ascii="Book Antiqua" w:hAnsi="Book Antiqua"/>
          <w:sz w:val="24"/>
          <w:szCs w:val="24"/>
        </w:rPr>
        <w:t>means the Associate J</w:t>
      </w:r>
      <w:r w:rsidRPr="005A7E3F">
        <w:rPr>
          <w:rFonts w:ascii="Book Antiqua" w:hAnsi="Book Antiqua"/>
          <w:sz w:val="24"/>
          <w:szCs w:val="24"/>
        </w:rPr>
        <w:t>udge assisting in the management of the List;</w:t>
      </w:r>
    </w:p>
    <w:p w14:paraId="7B29D1F5" w14:textId="77777777" w:rsidR="00956EC0" w:rsidRPr="005A7E3F" w:rsidRDefault="00956EC0" w:rsidP="00AC5DB9">
      <w:pPr>
        <w:pStyle w:val="ListParagraph"/>
        <w:spacing w:before="120" w:after="120"/>
        <w:ind w:left="360" w:firstLine="360"/>
        <w:jc w:val="both"/>
        <w:rPr>
          <w:rFonts w:ascii="Book Antiqua" w:hAnsi="Book Antiqua"/>
          <w:sz w:val="24"/>
          <w:szCs w:val="24"/>
        </w:rPr>
      </w:pPr>
      <w:r w:rsidRPr="005A7E3F">
        <w:rPr>
          <w:rFonts w:ascii="Book Antiqua" w:hAnsi="Book Antiqua"/>
          <w:b/>
          <w:i/>
          <w:sz w:val="24"/>
          <w:szCs w:val="24"/>
        </w:rPr>
        <w:t>Judge</w:t>
      </w:r>
      <w:r w:rsidRPr="005A7E3F">
        <w:rPr>
          <w:rFonts w:ascii="Book Antiqua" w:hAnsi="Book Antiqua"/>
          <w:sz w:val="24"/>
          <w:szCs w:val="24"/>
        </w:rPr>
        <w:t xml:space="preserve"> means the Judge in Charge of the List;</w:t>
      </w:r>
    </w:p>
    <w:p w14:paraId="7B7EDA2C" w14:textId="6F0633FB" w:rsidR="00A50A22" w:rsidRPr="005A7E3F" w:rsidRDefault="00A50A22" w:rsidP="00AC5DB9">
      <w:pPr>
        <w:pStyle w:val="ListParagraph"/>
        <w:spacing w:before="120" w:after="120"/>
        <w:ind w:left="360" w:firstLine="360"/>
        <w:jc w:val="both"/>
        <w:rPr>
          <w:rFonts w:ascii="Book Antiqua" w:hAnsi="Book Antiqua"/>
          <w:sz w:val="24"/>
          <w:szCs w:val="24"/>
        </w:rPr>
      </w:pPr>
      <w:r w:rsidRPr="005A7E3F">
        <w:rPr>
          <w:rFonts w:ascii="Book Antiqua" w:hAnsi="Book Antiqua"/>
          <w:b/>
          <w:i/>
          <w:sz w:val="24"/>
          <w:szCs w:val="24"/>
        </w:rPr>
        <w:t>List</w:t>
      </w:r>
      <w:r w:rsidRPr="005A7E3F">
        <w:rPr>
          <w:rFonts w:ascii="Book Antiqua" w:hAnsi="Book Antiqua"/>
          <w:sz w:val="24"/>
          <w:szCs w:val="24"/>
        </w:rPr>
        <w:t xml:space="preserve"> means the </w:t>
      </w:r>
      <w:r w:rsidR="00807D47" w:rsidRPr="005A7E3F">
        <w:rPr>
          <w:rFonts w:ascii="Book Antiqua" w:hAnsi="Book Antiqua"/>
          <w:sz w:val="24"/>
          <w:szCs w:val="24"/>
        </w:rPr>
        <w:t>Professional Liability</w:t>
      </w:r>
      <w:r w:rsidR="00541F76" w:rsidRPr="005A7E3F">
        <w:rPr>
          <w:rFonts w:ascii="Book Antiqua" w:hAnsi="Book Antiqua"/>
          <w:sz w:val="24"/>
          <w:szCs w:val="24"/>
        </w:rPr>
        <w:t xml:space="preserve"> </w:t>
      </w:r>
      <w:r w:rsidR="00850F93" w:rsidRPr="005A7E3F">
        <w:rPr>
          <w:rFonts w:ascii="Book Antiqua" w:hAnsi="Book Antiqua"/>
          <w:sz w:val="24"/>
          <w:szCs w:val="24"/>
        </w:rPr>
        <w:t>List</w:t>
      </w:r>
      <w:r w:rsidRPr="005A7E3F">
        <w:rPr>
          <w:rFonts w:ascii="Book Antiqua" w:hAnsi="Book Antiqua"/>
          <w:sz w:val="24"/>
          <w:szCs w:val="24"/>
        </w:rPr>
        <w:t>;</w:t>
      </w:r>
    </w:p>
    <w:p w14:paraId="7C843154" w14:textId="53936DF5" w:rsidR="0046389D" w:rsidRPr="005A7E3F" w:rsidRDefault="0046389D" w:rsidP="00AC5DB9">
      <w:pPr>
        <w:pStyle w:val="ListParagraph"/>
        <w:spacing w:before="120" w:after="120"/>
        <w:ind w:left="1440" w:hanging="720"/>
        <w:jc w:val="both"/>
        <w:rPr>
          <w:rFonts w:ascii="Book Antiqua" w:hAnsi="Book Antiqua"/>
          <w:sz w:val="24"/>
          <w:szCs w:val="24"/>
        </w:rPr>
      </w:pPr>
      <w:r w:rsidRPr="005A7E3F">
        <w:rPr>
          <w:rFonts w:ascii="Book Antiqua" w:hAnsi="Book Antiqua"/>
          <w:b/>
          <w:i/>
          <w:sz w:val="24"/>
          <w:szCs w:val="24"/>
        </w:rPr>
        <w:t>List directions day</w:t>
      </w:r>
      <w:r w:rsidRPr="005A7E3F">
        <w:rPr>
          <w:rFonts w:ascii="Book Antiqua" w:hAnsi="Book Antiqua"/>
          <w:sz w:val="24"/>
          <w:szCs w:val="24"/>
        </w:rPr>
        <w:t xml:space="preserve"> means the </w:t>
      </w:r>
      <w:r w:rsidR="00316FF2">
        <w:rPr>
          <w:rFonts w:ascii="Book Antiqua" w:hAnsi="Book Antiqua"/>
          <w:sz w:val="24"/>
          <w:szCs w:val="24"/>
        </w:rPr>
        <w:t>third Friday of each month</w:t>
      </w:r>
      <w:r w:rsidRPr="005A7E3F">
        <w:rPr>
          <w:rFonts w:ascii="Book Antiqua" w:hAnsi="Book Antiqua"/>
          <w:sz w:val="24"/>
          <w:szCs w:val="24"/>
        </w:rPr>
        <w:t xml:space="preserve"> during the Court sitting term</w:t>
      </w:r>
      <w:r w:rsidR="00BE2836">
        <w:rPr>
          <w:rFonts w:ascii="Book Antiqua" w:hAnsi="Book Antiqua"/>
          <w:sz w:val="24"/>
          <w:szCs w:val="24"/>
        </w:rPr>
        <w:t xml:space="preserve"> or such other days as advised on the Court’s </w:t>
      </w:r>
      <w:hyperlink r:id="rId14" w:history="1">
        <w:r w:rsidR="00BE2836" w:rsidRPr="00BE2836">
          <w:rPr>
            <w:rStyle w:val="Hyperlink"/>
            <w:rFonts w:ascii="Book Antiqua" w:hAnsi="Book Antiqua"/>
            <w:sz w:val="24"/>
            <w:szCs w:val="24"/>
          </w:rPr>
          <w:t>website</w:t>
        </w:r>
      </w:hyperlink>
      <w:r w:rsidR="00BE2836" w:rsidRPr="005A7E3F">
        <w:rPr>
          <w:rFonts w:ascii="Book Antiqua" w:hAnsi="Book Antiqua"/>
          <w:sz w:val="24"/>
          <w:szCs w:val="24"/>
        </w:rPr>
        <w:t xml:space="preserve"> </w:t>
      </w:r>
      <w:r w:rsidRPr="005A7E3F">
        <w:rPr>
          <w:rFonts w:ascii="Book Antiqua" w:hAnsi="Book Antiqua"/>
          <w:sz w:val="24"/>
          <w:szCs w:val="24"/>
        </w:rPr>
        <w:t>on which the Judge sits to give directions and hear applications in the List</w:t>
      </w:r>
      <w:r w:rsidR="001C355D">
        <w:rPr>
          <w:rFonts w:ascii="Book Antiqua" w:hAnsi="Book Antiqua"/>
          <w:sz w:val="24"/>
          <w:szCs w:val="24"/>
        </w:rPr>
        <w:t>.</w:t>
      </w:r>
    </w:p>
    <w:p w14:paraId="2BF76192" w14:textId="77777777" w:rsidR="00FD4B3F" w:rsidRPr="005A7E3F" w:rsidRDefault="00FD4B3F" w:rsidP="00AC5DB9">
      <w:pPr>
        <w:autoSpaceDE w:val="0"/>
        <w:autoSpaceDN w:val="0"/>
        <w:adjustRightInd w:val="0"/>
        <w:spacing w:before="120" w:after="120"/>
        <w:ind w:left="720"/>
        <w:jc w:val="both"/>
        <w:rPr>
          <w:rFonts w:ascii="Book Antiqua" w:hAnsi="Book Antiqua"/>
        </w:rPr>
      </w:pPr>
    </w:p>
    <w:p w14:paraId="0DCFA5C3" w14:textId="1E00829A" w:rsidR="00FD4B3F" w:rsidRPr="005A7E3F" w:rsidRDefault="00FD4B3F" w:rsidP="00AC5DB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b/>
          <w:sz w:val="24"/>
          <w:szCs w:val="24"/>
        </w:rPr>
        <w:t>COMMENCEMENT</w:t>
      </w:r>
    </w:p>
    <w:p w14:paraId="7D3CBBE0" w14:textId="6295E771" w:rsidR="00FD4B3F" w:rsidRPr="005A7E3F" w:rsidRDefault="00FD4B3F"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This Practice No</w:t>
      </w:r>
      <w:r w:rsidR="001C57E2">
        <w:rPr>
          <w:rFonts w:ascii="Book Antiqua" w:hAnsi="Book Antiqua"/>
          <w:sz w:val="24"/>
          <w:szCs w:val="24"/>
        </w:rPr>
        <w:t>te was issued and commences on 30</w:t>
      </w:r>
      <w:r w:rsidRPr="005A7E3F">
        <w:rPr>
          <w:rFonts w:ascii="Book Antiqua" w:hAnsi="Book Antiqua"/>
          <w:sz w:val="24"/>
          <w:szCs w:val="24"/>
        </w:rPr>
        <w:t xml:space="preserve"> </w:t>
      </w:r>
      <w:r w:rsidR="002818A4">
        <w:rPr>
          <w:rFonts w:ascii="Book Antiqua" w:hAnsi="Book Antiqua"/>
          <w:sz w:val="24"/>
          <w:szCs w:val="24"/>
        </w:rPr>
        <w:t xml:space="preserve">January 2017 </w:t>
      </w:r>
      <w:r w:rsidRPr="005A7E3F">
        <w:rPr>
          <w:rFonts w:ascii="Book Antiqua" w:hAnsi="Book Antiqua"/>
          <w:sz w:val="24"/>
          <w:szCs w:val="24"/>
        </w:rPr>
        <w:t xml:space="preserve">and </w:t>
      </w:r>
      <w:r w:rsidR="001C355D">
        <w:rPr>
          <w:rFonts w:ascii="Book Antiqua" w:hAnsi="Book Antiqua"/>
          <w:sz w:val="24"/>
          <w:szCs w:val="24"/>
        </w:rPr>
        <w:t xml:space="preserve">applies </w:t>
      </w:r>
      <w:r w:rsidRPr="005A7E3F">
        <w:rPr>
          <w:rFonts w:ascii="Book Antiqua" w:hAnsi="Book Antiqua"/>
          <w:sz w:val="24"/>
          <w:szCs w:val="24"/>
        </w:rPr>
        <w:t>to all proceedings in the List whenever commenced.</w:t>
      </w:r>
    </w:p>
    <w:p w14:paraId="651DE4C3" w14:textId="77777777" w:rsidR="00C5118C" w:rsidRPr="005A7E3F" w:rsidRDefault="00C5118C" w:rsidP="00AC5DB9">
      <w:pPr>
        <w:autoSpaceDE w:val="0"/>
        <w:autoSpaceDN w:val="0"/>
        <w:adjustRightInd w:val="0"/>
        <w:spacing w:before="120" w:after="120"/>
        <w:jc w:val="both"/>
        <w:rPr>
          <w:rFonts w:ascii="Book Antiqua" w:hAnsi="Book Antiqua"/>
        </w:rPr>
      </w:pPr>
    </w:p>
    <w:p w14:paraId="343A8DDA" w14:textId="404B9818" w:rsidR="006E7E0B" w:rsidRPr="005A7E3F" w:rsidRDefault="00C5118C" w:rsidP="00AC5DB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b/>
          <w:sz w:val="24"/>
          <w:szCs w:val="24"/>
        </w:rPr>
        <w:t>PROCEEDINGS SUITABLE FOR INCLUSION IN THE LIST</w:t>
      </w:r>
    </w:p>
    <w:p w14:paraId="79E5112F" w14:textId="7794CD69" w:rsidR="00733A34" w:rsidRPr="005A7E3F" w:rsidRDefault="00733A34"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Proceedings involving a claim for economic loss against a professional for breach of duty in tort or contract, related statutory contravention (e.g. misleading or deceptive conduct), or for breach of equitable duties should be initiated in the List.</w:t>
      </w:r>
    </w:p>
    <w:p w14:paraId="1E43835D" w14:textId="762C60A1" w:rsidR="00733A34" w:rsidRPr="005A7E3F" w:rsidRDefault="00733A34"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Without limiting the generality of paragraph 4.1, claims for breach of duty against the following professionals are suitable for inclusion in the List:</w:t>
      </w:r>
    </w:p>
    <w:p w14:paraId="1F133A1D" w14:textId="77777777" w:rsidR="00733A34" w:rsidRPr="005A7E3F" w:rsidRDefault="00733A34" w:rsidP="00AC5DB9">
      <w:pPr>
        <w:numPr>
          <w:ilvl w:val="0"/>
          <w:numId w:val="4"/>
        </w:numPr>
        <w:spacing w:before="120" w:after="120"/>
        <w:ind w:left="1440" w:hanging="270"/>
        <w:jc w:val="both"/>
        <w:rPr>
          <w:rFonts w:ascii="Book Antiqua" w:hAnsi="Book Antiqua"/>
        </w:rPr>
      </w:pPr>
      <w:r w:rsidRPr="005A7E3F">
        <w:rPr>
          <w:rFonts w:ascii="Book Antiqua" w:hAnsi="Book Antiqua"/>
        </w:rPr>
        <w:lastRenderedPageBreak/>
        <w:t>Legal practitioners;</w:t>
      </w:r>
    </w:p>
    <w:p w14:paraId="3FA92E45" w14:textId="77777777" w:rsidR="00733A34" w:rsidRPr="005A7E3F" w:rsidRDefault="00733A34" w:rsidP="00AC5DB9">
      <w:pPr>
        <w:numPr>
          <w:ilvl w:val="0"/>
          <w:numId w:val="4"/>
        </w:numPr>
        <w:spacing w:before="120" w:after="120"/>
        <w:ind w:left="1440" w:hanging="270"/>
        <w:jc w:val="both"/>
        <w:rPr>
          <w:rFonts w:ascii="Book Antiqua" w:hAnsi="Book Antiqua"/>
        </w:rPr>
      </w:pPr>
      <w:r w:rsidRPr="005A7E3F">
        <w:rPr>
          <w:rFonts w:ascii="Book Antiqua" w:hAnsi="Book Antiqua"/>
        </w:rPr>
        <w:t>Financial advisers (including accountants, financial planners and finance brokers);</w:t>
      </w:r>
    </w:p>
    <w:p w14:paraId="5860EEB2" w14:textId="77777777" w:rsidR="00733A34" w:rsidRPr="005A7E3F" w:rsidRDefault="00733A34" w:rsidP="00AC5DB9">
      <w:pPr>
        <w:numPr>
          <w:ilvl w:val="0"/>
          <w:numId w:val="4"/>
        </w:numPr>
        <w:spacing w:before="120" w:after="120"/>
        <w:ind w:left="1440" w:hanging="270"/>
        <w:jc w:val="both"/>
        <w:rPr>
          <w:rFonts w:ascii="Book Antiqua" w:hAnsi="Book Antiqua"/>
        </w:rPr>
      </w:pPr>
      <w:r w:rsidRPr="005A7E3F">
        <w:rPr>
          <w:rFonts w:ascii="Book Antiqua" w:hAnsi="Book Antiqua"/>
        </w:rPr>
        <w:t>Stockbrokers;</w:t>
      </w:r>
    </w:p>
    <w:p w14:paraId="19B21682" w14:textId="77777777" w:rsidR="00733A34" w:rsidRPr="005A7E3F" w:rsidRDefault="00733A34" w:rsidP="00AC5DB9">
      <w:pPr>
        <w:numPr>
          <w:ilvl w:val="0"/>
          <w:numId w:val="4"/>
        </w:numPr>
        <w:spacing w:before="120" w:after="120"/>
        <w:ind w:left="1440" w:hanging="270"/>
        <w:jc w:val="both"/>
        <w:rPr>
          <w:rFonts w:ascii="Book Antiqua" w:hAnsi="Book Antiqua"/>
        </w:rPr>
      </w:pPr>
      <w:r w:rsidRPr="005A7E3F">
        <w:rPr>
          <w:rFonts w:ascii="Book Antiqua" w:hAnsi="Book Antiqua"/>
        </w:rPr>
        <w:t>Insurance brokers and agents;</w:t>
      </w:r>
    </w:p>
    <w:p w14:paraId="601625A8" w14:textId="77777777" w:rsidR="00733A34" w:rsidRPr="005A7E3F" w:rsidRDefault="00733A34" w:rsidP="00AC5DB9">
      <w:pPr>
        <w:numPr>
          <w:ilvl w:val="0"/>
          <w:numId w:val="4"/>
        </w:numPr>
        <w:spacing w:before="120" w:after="120"/>
        <w:ind w:left="1440" w:hanging="270"/>
        <w:jc w:val="both"/>
        <w:rPr>
          <w:rFonts w:ascii="Book Antiqua" w:hAnsi="Book Antiqua"/>
        </w:rPr>
      </w:pPr>
      <w:r w:rsidRPr="005A7E3F">
        <w:rPr>
          <w:rFonts w:ascii="Book Antiqua" w:hAnsi="Book Antiqua"/>
        </w:rPr>
        <w:t>Real estate agents and conveyancers; and</w:t>
      </w:r>
    </w:p>
    <w:p w14:paraId="33DF54DA" w14:textId="77777777" w:rsidR="007656EA" w:rsidRPr="005A7E3F" w:rsidRDefault="00733A34" w:rsidP="00AC5DB9">
      <w:pPr>
        <w:numPr>
          <w:ilvl w:val="0"/>
          <w:numId w:val="4"/>
        </w:numPr>
        <w:spacing w:before="120" w:after="120"/>
        <w:ind w:left="1440" w:hanging="270"/>
        <w:jc w:val="both"/>
        <w:rPr>
          <w:rFonts w:ascii="Book Antiqua" w:hAnsi="Book Antiqua"/>
        </w:rPr>
      </w:pPr>
      <w:r w:rsidRPr="005A7E3F">
        <w:rPr>
          <w:rFonts w:ascii="Book Antiqua" w:hAnsi="Book Antiqua"/>
        </w:rPr>
        <w:t>Valuers</w:t>
      </w:r>
      <w:r w:rsidR="007656EA" w:rsidRPr="005A7E3F">
        <w:rPr>
          <w:rFonts w:ascii="Book Antiqua" w:hAnsi="Book Antiqua"/>
        </w:rPr>
        <w:t>;</w:t>
      </w:r>
    </w:p>
    <w:p w14:paraId="1F83F3E1" w14:textId="6575FB82" w:rsidR="00733A34" w:rsidRPr="005A7E3F" w:rsidRDefault="007656EA" w:rsidP="00AC5DB9">
      <w:pPr>
        <w:numPr>
          <w:ilvl w:val="0"/>
          <w:numId w:val="4"/>
        </w:numPr>
        <w:spacing w:before="120" w:after="120"/>
        <w:ind w:left="1440" w:hanging="270"/>
        <w:jc w:val="both"/>
        <w:rPr>
          <w:rFonts w:ascii="Book Antiqua" w:hAnsi="Book Antiqua"/>
        </w:rPr>
      </w:pPr>
      <w:r w:rsidRPr="005A7E3F">
        <w:rPr>
          <w:rFonts w:ascii="Book Antiqua" w:hAnsi="Book Antiqua"/>
        </w:rPr>
        <w:t>Taxation professionals</w:t>
      </w:r>
      <w:r w:rsidR="00733A34" w:rsidRPr="005A7E3F">
        <w:rPr>
          <w:rFonts w:ascii="Book Antiqua" w:hAnsi="Book Antiqua"/>
        </w:rPr>
        <w:t>.</w:t>
      </w:r>
    </w:p>
    <w:p w14:paraId="6B35308E" w14:textId="7FE0338C" w:rsidR="006C71CD" w:rsidRPr="005A7E3F" w:rsidRDefault="006C71CD"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However, where the cause of action arose in regional Victoria, or where the majority of witnesses or parties reside in regional Victoria, proceedings of the nature set out in paragraphs 4.1 to 4.</w:t>
      </w:r>
      <w:r w:rsidR="00447BE8" w:rsidRPr="005A7E3F">
        <w:rPr>
          <w:rFonts w:ascii="Book Antiqua" w:hAnsi="Book Antiqua"/>
          <w:sz w:val="24"/>
          <w:szCs w:val="24"/>
        </w:rPr>
        <w:t>2</w:t>
      </w:r>
      <w:r w:rsidRPr="005A7E3F">
        <w:rPr>
          <w:rFonts w:ascii="Book Antiqua" w:hAnsi="Book Antiqua"/>
          <w:sz w:val="24"/>
          <w:szCs w:val="24"/>
        </w:rPr>
        <w:t xml:space="preserve"> should be initiated in the Civil Circuit List</w:t>
      </w:r>
      <w:r w:rsidR="00C11C91">
        <w:rPr>
          <w:rFonts w:ascii="Book Antiqua" w:hAnsi="Book Antiqua"/>
          <w:sz w:val="24"/>
          <w:szCs w:val="24"/>
        </w:rPr>
        <w:t xml:space="preserve"> (see Practice Note SC CL 1)</w:t>
      </w:r>
      <w:r w:rsidRPr="005A7E3F">
        <w:rPr>
          <w:rFonts w:ascii="Book Antiqua" w:hAnsi="Book Antiqua"/>
          <w:sz w:val="24"/>
          <w:szCs w:val="24"/>
        </w:rPr>
        <w:t xml:space="preserve">. </w:t>
      </w:r>
    </w:p>
    <w:p w14:paraId="66B5000E" w14:textId="77777777" w:rsidR="000973B7" w:rsidRPr="005A7E3F" w:rsidRDefault="000973B7"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Claims against the following professionals are excluded from the List:</w:t>
      </w:r>
    </w:p>
    <w:p w14:paraId="48D019BD" w14:textId="1FA097ED" w:rsidR="000973B7" w:rsidRPr="00AD6C5C" w:rsidRDefault="000973B7" w:rsidP="00AC5DB9">
      <w:pPr>
        <w:numPr>
          <w:ilvl w:val="0"/>
          <w:numId w:val="5"/>
        </w:numPr>
        <w:spacing w:before="120" w:after="120"/>
        <w:ind w:left="1440" w:hanging="270"/>
        <w:jc w:val="both"/>
        <w:rPr>
          <w:rFonts w:ascii="Book Antiqua" w:hAnsi="Book Antiqua"/>
        </w:rPr>
      </w:pPr>
      <w:r w:rsidRPr="005A7E3F">
        <w:rPr>
          <w:rFonts w:ascii="Book Antiqua" w:hAnsi="Book Antiqua"/>
        </w:rPr>
        <w:t xml:space="preserve">Health practitioners (managed in </w:t>
      </w:r>
      <w:r w:rsidRPr="00AD6C5C">
        <w:rPr>
          <w:rFonts w:ascii="Book Antiqua" w:hAnsi="Book Antiqua"/>
        </w:rPr>
        <w:t>the Personal Injuries List);</w:t>
      </w:r>
      <w:r w:rsidR="007656EA" w:rsidRPr="00AD6C5C">
        <w:rPr>
          <w:rFonts w:ascii="Book Antiqua" w:hAnsi="Book Antiqua"/>
        </w:rPr>
        <w:t xml:space="preserve"> and</w:t>
      </w:r>
    </w:p>
    <w:p w14:paraId="72783CC7" w14:textId="215915E0" w:rsidR="000973B7" w:rsidRPr="00AD6C5C" w:rsidRDefault="000973B7" w:rsidP="00AC5DB9">
      <w:pPr>
        <w:numPr>
          <w:ilvl w:val="0"/>
          <w:numId w:val="5"/>
        </w:numPr>
        <w:spacing w:before="120" w:after="120"/>
        <w:ind w:left="1440" w:hanging="270"/>
        <w:jc w:val="both"/>
        <w:rPr>
          <w:rFonts w:ascii="Book Antiqua" w:hAnsi="Book Antiqua"/>
        </w:rPr>
      </w:pPr>
      <w:r w:rsidRPr="00AD6C5C">
        <w:rPr>
          <w:rFonts w:ascii="Book Antiqua" w:hAnsi="Book Antiqua"/>
        </w:rPr>
        <w:t>Building, construction and engineering practitioners (managed in the Commercial Court)</w:t>
      </w:r>
      <w:r w:rsidR="007656EA" w:rsidRPr="00AD6C5C">
        <w:rPr>
          <w:rFonts w:ascii="Book Antiqua" w:hAnsi="Book Antiqua"/>
        </w:rPr>
        <w:t>.</w:t>
      </w:r>
    </w:p>
    <w:p w14:paraId="22A150E0" w14:textId="77777777" w:rsidR="000973B7" w:rsidRPr="005A7E3F" w:rsidRDefault="000973B7" w:rsidP="00AC5DB9">
      <w:pPr>
        <w:spacing w:before="120" w:after="120"/>
        <w:contextualSpacing/>
        <w:jc w:val="both"/>
        <w:rPr>
          <w:rFonts w:ascii="Book Antiqua" w:hAnsi="Book Antiqua"/>
        </w:rPr>
      </w:pPr>
    </w:p>
    <w:p w14:paraId="6AB8BC09" w14:textId="78DF31F4" w:rsidR="00182C1F" w:rsidRPr="005A7E3F" w:rsidRDefault="00182C1F" w:rsidP="00AC5DB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b/>
          <w:sz w:val="24"/>
          <w:szCs w:val="24"/>
        </w:rPr>
        <w:t>PROCEDURE FOR ENTRY INTO THE LIST</w:t>
      </w:r>
    </w:p>
    <w:p w14:paraId="356B8522" w14:textId="47E24421" w:rsidR="00182C1F" w:rsidRPr="005A7E3F" w:rsidRDefault="007C66C1" w:rsidP="00AC5DB9">
      <w:pPr>
        <w:pStyle w:val="ListParagraph"/>
        <w:numPr>
          <w:ilvl w:val="1"/>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sz w:val="24"/>
          <w:szCs w:val="24"/>
        </w:rPr>
        <w:t>Proceedings of the nature set out in paragraph</w:t>
      </w:r>
      <w:r w:rsidR="006C71CD" w:rsidRPr="005A7E3F">
        <w:rPr>
          <w:rFonts w:ascii="Book Antiqua" w:hAnsi="Book Antiqua"/>
          <w:sz w:val="24"/>
          <w:szCs w:val="24"/>
        </w:rPr>
        <w:t>s</w:t>
      </w:r>
      <w:r w:rsidRPr="005A7E3F">
        <w:rPr>
          <w:rFonts w:ascii="Book Antiqua" w:hAnsi="Book Antiqua"/>
          <w:sz w:val="24"/>
          <w:szCs w:val="24"/>
        </w:rPr>
        <w:t xml:space="preserve"> </w:t>
      </w:r>
      <w:r w:rsidR="006C71CD" w:rsidRPr="005A7E3F">
        <w:rPr>
          <w:rFonts w:ascii="Book Antiqua" w:hAnsi="Book Antiqua"/>
          <w:sz w:val="24"/>
          <w:szCs w:val="24"/>
        </w:rPr>
        <w:t>4.1 to 4.</w:t>
      </w:r>
      <w:r w:rsidR="00015396" w:rsidRPr="005A7E3F">
        <w:rPr>
          <w:rFonts w:ascii="Book Antiqua" w:hAnsi="Book Antiqua"/>
          <w:sz w:val="24"/>
          <w:szCs w:val="24"/>
        </w:rPr>
        <w:t>2</w:t>
      </w:r>
      <w:r w:rsidR="006C71CD" w:rsidRPr="005A7E3F">
        <w:rPr>
          <w:rFonts w:ascii="Book Antiqua" w:hAnsi="Book Antiqua"/>
          <w:sz w:val="24"/>
          <w:szCs w:val="24"/>
        </w:rPr>
        <w:t xml:space="preserve"> </w:t>
      </w:r>
      <w:r w:rsidRPr="005A7E3F">
        <w:rPr>
          <w:rFonts w:ascii="Book Antiqua" w:hAnsi="Book Antiqua"/>
          <w:sz w:val="24"/>
          <w:szCs w:val="24"/>
        </w:rPr>
        <w:t>should be initiated in the List by endorsing the heading of the originating process “</w:t>
      </w:r>
      <w:r w:rsidR="00807D47" w:rsidRPr="005A7E3F">
        <w:rPr>
          <w:rFonts w:ascii="Book Antiqua" w:hAnsi="Book Antiqua"/>
          <w:sz w:val="24"/>
          <w:szCs w:val="24"/>
        </w:rPr>
        <w:t>Professional Liability</w:t>
      </w:r>
      <w:r w:rsidR="00637201" w:rsidRPr="005A7E3F">
        <w:rPr>
          <w:rFonts w:ascii="Book Antiqua" w:hAnsi="Book Antiqua"/>
          <w:sz w:val="24"/>
          <w:szCs w:val="24"/>
        </w:rPr>
        <w:t xml:space="preserve"> List</w:t>
      </w:r>
      <w:r w:rsidRPr="005A7E3F">
        <w:rPr>
          <w:rFonts w:ascii="Book Antiqua" w:hAnsi="Book Antiqua"/>
          <w:sz w:val="24"/>
          <w:szCs w:val="24"/>
        </w:rPr>
        <w:t xml:space="preserve">”. </w:t>
      </w:r>
      <w:r w:rsidR="00E81517">
        <w:rPr>
          <w:rFonts w:ascii="Book Antiqua" w:hAnsi="Book Antiqua"/>
          <w:sz w:val="24"/>
          <w:szCs w:val="24"/>
        </w:rPr>
        <w:t xml:space="preserve"> </w:t>
      </w:r>
      <w:r w:rsidRPr="005A7E3F">
        <w:rPr>
          <w:rFonts w:ascii="Book Antiqua" w:hAnsi="Book Antiqua"/>
          <w:sz w:val="24"/>
          <w:szCs w:val="24"/>
        </w:rPr>
        <w:t>The heading of all subsequent documents filed in the proceeding should also be endorsed “</w:t>
      </w:r>
      <w:r w:rsidR="00807D47" w:rsidRPr="005A7E3F">
        <w:rPr>
          <w:rFonts w:ascii="Book Antiqua" w:hAnsi="Book Antiqua"/>
          <w:sz w:val="24"/>
          <w:szCs w:val="24"/>
        </w:rPr>
        <w:t>Professional Liability</w:t>
      </w:r>
      <w:r w:rsidR="00637201" w:rsidRPr="005A7E3F">
        <w:rPr>
          <w:rFonts w:ascii="Book Antiqua" w:hAnsi="Book Antiqua"/>
          <w:sz w:val="24"/>
          <w:szCs w:val="24"/>
        </w:rPr>
        <w:t xml:space="preserve"> List</w:t>
      </w:r>
      <w:r w:rsidRPr="005A7E3F">
        <w:rPr>
          <w:rFonts w:ascii="Book Antiqua" w:hAnsi="Book Antiqua"/>
          <w:sz w:val="24"/>
          <w:szCs w:val="24"/>
        </w:rPr>
        <w:t>”</w:t>
      </w:r>
      <w:r w:rsidR="00B86E13" w:rsidRPr="005A7E3F">
        <w:rPr>
          <w:rFonts w:ascii="Book Antiqua" w:hAnsi="Book Antiqua"/>
          <w:sz w:val="24"/>
          <w:szCs w:val="24"/>
        </w:rPr>
        <w:t xml:space="preserve">. </w:t>
      </w:r>
    </w:p>
    <w:p w14:paraId="21BDA798" w14:textId="223DAB06" w:rsidR="00182C1F" w:rsidRPr="005A7E3F" w:rsidRDefault="00182C1F" w:rsidP="00AC5DB9">
      <w:pPr>
        <w:pStyle w:val="ListParagraph"/>
        <w:numPr>
          <w:ilvl w:val="1"/>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sz w:val="24"/>
          <w:szCs w:val="24"/>
        </w:rPr>
        <w:t xml:space="preserve">If at any time after the initiation of a proceeding it appears to the Court that it is appropriate to have the </w:t>
      </w:r>
      <w:r w:rsidR="007C66C1" w:rsidRPr="005A7E3F">
        <w:rPr>
          <w:rFonts w:ascii="Book Antiqua" w:hAnsi="Book Antiqua"/>
          <w:sz w:val="24"/>
          <w:szCs w:val="24"/>
        </w:rPr>
        <w:t>proceeding managed in the List</w:t>
      </w:r>
      <w:r w:rsidRPr="005A7E3F">
        <w:rPr>
          <w:rFonts w:ascii="Book Antiqua" w:hAnsi="Book Antiqua"/>
          <w:sz w:val="24"/>
          <w:szCs w:val="24"/>
        </w:rPr>
        <w:t>, the proceeding may be transferred into the List on the Court’s own motion</w:t>
      </w:r>
      <w:r w:rsidR="00984EF6" w:rsidRPr="005A7E3F">
        <w:rPr>
          <w:rFonts w:ascii="Book Antiqua" w:hAnsi="Book Antiqua"/>
          <w:sz w:val="24"/>
          <w:szCs w:val="24"/>
        </w:rPr>
        <w:t>.</w:t>
      </w:r>
      <w:r w:rsidR="00015396" w:rsidRPr="005A7E3F">
        <w:rPr>
          <w:rFonts w:ascii="Book Antiqua" w:hAnsi="Book Antiqua"/>
          <w:sz w:val="24"/>
          <w:szCs w:val="24"/>
        </w:rPr>
        <w:t xml:space="preserve"> </w:t>
      </w:r>
      <w:r w:rsidR="00E81517">
        <w:rPr>
          <w:rFonts w:ascii="Book Antiqua" w:hAnsi="Book Antiqua"/>
          <w:sz w:val="24"/>
          <w:szCs w:val="24"/>
        </w:rPr>
        <w:t xml:space="preserve"> </w:t>
      </w:r>
      <w:r w:rsidR="00015396" w:rsidRPr="005A7E3F">
        <w:rPr>
          <w:rFonts w:ascii="Book Antiqua" w:hAnsi="Book Antiqua"/>
          <w:sz w:val="24"/>
          <w:szCs w:val="24"/>
        </w:rPr>
        <w:t>This may occur where, by virtue of an amended claim, counter-claim or third party claim, an eligible professional liability claim is introduced into the proceeding</w:t>
      </w:r>
      <w:r w:rsidR="00E81517">
        <w:rPr>
          <w:rFonts w:ascii="Book Antiqua" w:hAnsi="Book Antiqua"/>
          <w:sz w:val="24"/>
          <w:szCs w:val="24"/>
        </w:rPr>
        <w:t>.</w:t>
      </w:r>
    </w:p>
    <w:p w14:paraId="74022929" w14:textId="469BEADC" w:rsidR="00182C1F" w:rsidRPr="005A7E3F" w:rsidRDefault="00182C1F" w:rsidP="00AC5DB9">
      <w:pPr>
        <w:pStyle w:val="ListParagraph"/>
        <w:numPr>
          <w:ilvl w:val="1"/>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sz w:val="24"/>
          <w:szCs w:val="24"/>
        </w:rPr>
        <w:t xml:space="preserve">Conversely, a proceeding initiated in the List may be transferred out of the List on the Court’s own motion if it appears to the Court that it is appropriate to have the </w:t>
      </w:r>
      <w:r w:rsidR="007C66C1" w:rsidRPr="005A7E3F">
        <w:rPr>
          <w:rFonts w:ascii="Book Antiqua" w:hAnsi="Book Antiqua"/>
          <w:sz w:val="24"/>
          <w:szCs w:val="24"/>
        </w:rPr>
        <w:t>proceeding managed in a different list</w:t>
      </w:r>
      <w:r w:rsidR="00984EF6" w:rsidRPr="005A7E3F">
        <w:rPr>
          <w:rFonts w:ascii="Book Antiqua" w:hAnsi="Book Antiqua"/>
          <w:sz w:val="24"/>
          <w:szCs w:val="24"/>
        </w:rPr>
        <w:t>.</w:t>
      </w:r>
    </w:p>
    <w:p w14:paraId="2809029B" w14:textId="5099E371" w:rsidR="00182C1F" w:rsidRPr="005A7E3F" w:rsidRDefault="00182C1F" w:rsidP="00AC5DB9">
      <w:pPr>
        <w:pStyle w:val="ListParagraph"/>
        <w:numPr>
          <w:ilvl w:val="1"/>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sz w:val="24"/>
          <w:szCs w:val="24"/>
        </w:rPr>
        <w:t>No additional fees will be payable for the inclusion of a proceeding in the List</w:t>
      </w:r>
      <w:r w:rsidR="00984EF6" w:rsidRPr="005A7E3F">
        <w:rPr>
          <w:rFonts w:ascii="Book Antiqua" w:hAnsi="Book Antiqua"/>
          <w:sz w:val="24"/>
          <w:szCs w:val="24"/>
        </w:rPr>
        <w:t>.</w:t>
      </w:r>
    </w:p>
    <w:p w14:paraId="16E66013" w14:textId="77777777" w:rsidR="00182C1F" w:rsidRPr="005A7E3F" w:rsidRDefault="00182C1F" w:rsidP="00AC5DB9">
      <w:pPr>
        <w:autoSpaceDE w:val="0"/>
        <w:autoSpaceDN w:val="0"/>
        <w:adjustRightInd w:val="0"/>
        <w:spacing w:before="120" w:after="120"/>
        <w:jc w:val="both"/>
        <w:rPr>
          <w:rFonts w:ascii="Book Antiqua" w:hAnsi="Book Antiqua"/>
          <w:b/>
        </w:rPr>
      </w:pPr>
    </w:p>
    <w:p w14:paraId="1A53606B" w14:textId="29AB4799" w:rsidR="00182C1F" w:rsidRPr="005A7E3F" w:rsidRDefault="00015396" w:rsidP="00AC5DB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b/>
          <w:sz w:val="24"/>
          <w:szCs w:val="24"/>
        </w:rPr>
        <w:t xml:space="preserve">FIRST </w:t>
      </w:r>
      <w:r w:rsidR="00162996" w:rsidRPr="005A7E3F">
        <w:rPr>
          <w:rFonts w:ascii="Book Antiqua" w:hAnsi="Book Antiqua"/>
          <w:b/>
          <w:sz w:val="24"/>
          <w:szCs w:val="24"/>
        </w:rPr>
        <w:t>DIRECTION</w:t>
      </w:r>
      <w:r w:rsidRPr="005A7E3F">
        <w:rPr>
          <w:rFonts w:ascii="Book Antiqua" w:hAnsi="Book Antiqua"/>
          <w:b/>
          <w:sz w:val="24"/>
          <w:szCs w:val="24"/>
        </w:rPr>
        <w:t>S HEARING</w:t>
      </w:r>
    </w:p>
    <w:p w14:paraId="4C6BE9B8" w14:textId="32D6DA39" w:rsidR="00B14A18" w:rsidRPr="005A7E3F" w:rsidRDefault="00015396"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The Judge will give directions for the management of a proceeding in the List at a first directions hearing</w:t>
      </w:r>
      <w:r w:rsidR="00AD6C5C">
        <w:rPr>
          <w:rFonts w:ascii="Book Antiqua" w:hAnsi="Book Antiqua"/>
          <w:sz w:val="24"/>
          <w:szCs w:val="24"/>
        </w:rPr>
        <w:t xml:space="preserve"> on a List directions day</w:t>
      </w:r>
      <w:r w:rsidRPr="005A7E3F">
        <w:rPr>
          <w:rFonts w:ascii="Book Antiqua" w:hAnsi="Book Antiqua"/>
          <w:sz w:val="24"/>
          <w:szCs w:val="24"/>
        </w:rPr>
        <w:t xml:space="preserve">. </w:t>
      </w:r>
      <w:r w:rsidR="00E81517">
        <w:rPr>
          <w:rFonts w:ascii="Book Antiqua" w:hAnsi="Book Antiqua"/>
          <w:sz w:val="24"/>
          <w:szCs w:val="24"/>
        </w:rPr>
        <w:t xml:space="preserve"> </w:t>
      </w:r>
      <w:r w:rsidRPr="005A7E3F">
        <w:rPr>
          <w:rFonts w:ascii="Book Antiqua" w:hAnsi="Book Antiqua"/>
          <w:sz w:val="24"/>
          <w:szCs w:val="24"/>
        </w:rPr>
        <w:t>The Court will generally notify the parties of the date and time of the first directions hearing within 14 days of the filing of the first defence</w:t>
      </w:r>
      <w:r w:rsidR="00B14A18" w:rsidRPr="005A7E3F">
        <w:rPr>
          <w:rFonts w:ascii="Book Antiqua" w:hAnsi="Book Antiqua"/>
          <w:sz w:val="24"/>
          <w:szCs w:val="24"/>
        </w:rPr>
        <w:t>.</w:t>
      </w:r>
    </w:p>
    <w:p w14:paraId="719FA53C" w14:textId="4FB8260D" w:rsidR="00015396" w:rsidRPr="005A7E3F" w:rsidRDefault="00015396"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 xml:space="preserve">At the first directions hearing, the Court expects that each party's representative will be properly briefed and familiar with the proceeding, and will be able to deal fully with all issues that might arise. </w:t>
      </w:r>
      <w:r w:rsidR="00E81517">
        <w:rPr>
          <w:rFonts w:ascii="Book Antiqua" w:hAnsi="Book Antiqua"/>
          <w:sz w:val="24"/>
          <w:szCs w:val="24"/>
        </w:rPr>
        <w:t xml:space="preserve"> </w:t>
      </w:r>
      <w:r w:rsidRPr="005A7E3F">
        <w:rPr>
          <w:rFonts w:ascii="Book Antiqua" w:hAnsi="Book Antiqua"/>
          <w:sz w:val="24"/>
          <w:szCs w:val="24"/>
        </w:rPr>
        <w:t xml:space="preserve">This expectation applies equally to self-represented litigants. </w:t>
      </w:r>
      <w:r w:rsidR="00E81517">
        <w:rPr>
          <w:rFonts w:ascii="Book Antiqua" w:hAnsi="Book Antiqua"/>
          <w:sz w:val="24"/>
          <w:szCs w:val="24"/>
        </w:rPr>
        <w:t xml:space="preserve"> </w:t>
      </w:r>
      <w:r w:rsidRPr="005A7E3F">
        <w:rPr>
          <w:rFonts w:ascii="Book Antiqua" w:hAnsi="Book Antiqua"/>
          <w:sz w:val="24"/>
          <w:szCs w:val="24"/>
        </w:rPr>
        <w:t xml:space="preserve">If counsel have been retained to </w:t>
      </w:r>
      <w:r w:rsidRPr="005A7E3F">
        <w:rPr>
          <w:rFonts w:ascii="Book Antiqua" w:hAnsi="Book Antiqua"/>
          <w:sz w:val="24"/>
          <w:szCs w:val="24"/>
        </w:rPr>
        <w:lastRenderedPageBreak/>
        <w:t>appear in the trial of the proceeding by the time of the first direction</w:t>
      </w:r>
      <w:r w:rsidR="00BE5BB7">
        <w:rPr>
          <w:rFonts w:ascii="Book Antiqua" w:hAnsi="Book Antiqua"/>
          <w:sz w:val="24"/>
          <w:szCs w:val="24"/>
        </w:rPr>
        <w:t>s</w:t>
      </w:r>
      <w:r w:rsidRPr="005A7E3F">
        <w:rPr>
          <w:rFonts w:ascii="Book Antiqua" w:hAnsi="Book Antiqua"/>
          <w:sz w:val="24"/>
          <w:szCs w:val="24"/>
        </w:rPr>
        <w:t xml:space="preserve"> hearing, parties are strongly encouraged to brief such counsel to appear at the directions hearing.</w:t>
      </w:r>
    </w:p>
    <w:p w14:paraId="5ED967CA" w14:textId="77777777" w:rsidR="00015396" w:rsidRPr="005A7E3F" w:rsidRDefault="00015396"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At the first directions hearing, all parties are expected to have considered:</w:t>
      </w:r>
    </w:p>
    <w:p w14:paraId="556F8FC4" w14:textId="18773B85"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t</w:t>
      </w:r>
      <w:r w:rsidR="00015396" w:rsidRPr="005A7E3F">
        <w:rPr>
          <w:rFonts w:ascii="Book Antiqua" w:hAnsi="Book Antiqua"/>
          <w:sz w:val="24"/>
          <w:szCs w:val="24"/>
        </w:rPr>
        <w:t>he nature of the claim, and the key legal and factual issues which may arise;</w:t>
      </w:r>
    </w:p>
    <w:p w14:paraId="33EB34CF" w14:textId="31331118"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w</w:t>
      </w:r>
      <w:r w:rsidR="00015396" w:rsidRPr="005A7E3F">
        <w:rPr>
          <w:rFonts w:ascii="Book Antiqua" w:hAnsi="Book Antiqua"/>
          <w:sz w:val="24"/>
          <w:szCs w:val="24"/>
        </w:rPr>
        <w:t>hether the parties have given each other sufficient information to understand the principal questions in issue;</w:t>
      </w:r>
    </w:p>
    <w:p w14:paraId="6155C489" w14:textId="0F238CE7"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t</w:t>
      </w:r>
      <w:r w:rsidR="00015396" w:rsidRPr="005A7E3F">
        <w:rPr>
          <w:rFonts w:ascii="Book Antiqua" w:hAnsi="Book Antiqua"/>
          <w:sz w:val="24"/>
          <w:szCs w:val="24"/>
        </w:rPr>
        <w:t xml:space="preserve">heir compliance with section 26 of the </w:t>
      </w:r>
      <w:r w:rsidR="00015396" w:rsidRPr="005A7E3F">
        <w:rPr>
          <w:rFonts w:ascii="Book Antiqua" w:hAnsi="Book Antiqua"/>
          <w:i/>
          <w:sz w:val="24"/>
          <w:szCs w:val="24"/>
        </w:rPr>
        <w:t>Civil Procedure Act</w:t>
      </w:r>
      <w:r w:rsidR="00015396" w:rsidRPr="005A7E3F">
        <w:rPr>
          <w:rFonts w:ascii="Book Antiqua" w:hAnsi="Book Antiqua"/>
          <w:sz w:val="24"/>
          <w:szCs w:val="24"/>
        </w:rPr>
        <w:t xml:space="preserve"> </w:t>
      </w:r>
      <w:r w:rsidR="00015396" w:rsidRPr="005A7E3F">
        <w:rPr>
          <w:rFonts w:ascii="Book Antiqua" w:hAnsi="Book Antiqua"/>
          <w:i/>
          <w:sz w:val="24"/>
          <w:szCs w:val="24"/>
        </w:rPr>
        <w:t>2010</w:t>
      </w:r>
      <w:r w:rsidR="00015396" w:rsidRPr="005A7E3F">
        <w:rPr>
          <w:rFonts w:ascii="Book Antiqua" w:hAnsi="Book Antiqua"/>
          <w:sz w:val="24"/>
          <w:szCs w:val="24"/>
        </w:rPr>
        <w:t>;</w:t>
      </w:r>
    </w:p>
    <w:p w14:paraId="3261A5B8" w14:textId="61E142D2"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t</w:t>
      </w:r>
      <w:r w:rsidR="00015396" w:rsidRPr="005A7E3F">
        <w:rPr>
          <w:rFonts w:ascii="Book Antiqua" w:hAnsi="Book Antiqua"/>
          <w:sz w:val="24"/>
          <w:szCs w:val="24"/>
        </w:rPr>
        <w:t>he likely duration and the mode of the trial;</w:t>
      </w:r>
    </w:p>
    <w:p w14:paraId="671F5789" w14:textId="19CD6861"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t</w:t>
      </w:r>
      <w:r w:rsidR="00015396" w:rsidRPr="005A7E3F">
        <w:rPr>
          <w:rFonts w:ascii="Book Antiqua" w:hAnsi="Book Antiqua"/>
          <w:sz w:val="24"/>
          <w:szCs w:val="24"/>
        </w:rPr>
        <w:t>he utility of early mediation or other form of alternative dispute resolution;</w:t>
      </w:r>
    </w:p>
    <w:p w14:paraId="386E1EDA" w14:textId="782A0EE7"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j</w:t>
      </w:r>
      <w:r w:rsidR="00015396" w:rsidRPr="005A7E3F">
        <w:rPr>
          <w:rFonts w:ascii="Book Antiqua" w:hAnsi="Book Antiqua"/>
          <w:sz w:val="24"/>
          <w:szCs w:val="24"/>
        </w:rPr>
        <w:t>oinder of any further parties;</w:t>
      </w:r>
    </w:p>
    <w:p w14:paraId="73A2633D" w14:textId="008AA091"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w</w:t>
      </w:r>
      <w:r w:rsidR="00015396" w:rsidRPr="005A7E3F">
        <w:rPr>
          <w:rFonts w:ascii="Book Antiqua" w:hAnsi="Book Antiqua"/>
          <w:sz w:val="24"/>
          <w:szCs w:val="24"/>
        </w:rPr>
        <w:t>hether apportionment is sought against any party or other person;</w:t>
      </w:r>
    </w:p>
    <w:p w14:paraId="37C61764" w14:textId="613E9CD6"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t</w:t>
      </w:r>
      <w:r w:rsidR="00015396" w:rsidRPr="005A7E3F">
        <w:rPr>
          <w:rFonts w:ascii="Book Antiqua" w:hAnsi="Book Antiqua"/>
          <w:sz w:val="24"/>
          <w:szCs w:val="24"/>
        </w:rPr>
        <w:t>he filing and service of any further pleadings;</w:t>
      </w:r>
    </w:p>
    <w:p w14:paraId="457C3776" w14:textId="3A13A67E"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t</w:t>
      </w:r>
      <w:r w:rsidR="00015396" w:rsidRPr="005A7E3F">
        <w:rPr>
          <w:rFonts w:ascii="Book Antiqua" w:hAnsi="Book Antiqua"/>
          <w:sz w:val="24"/>
          <w:szCs w:val="24"/>
        </w:rPr>
        <w:t>he provision of proper particulars;</w:t>
      </w:r>
    </w:p>
    <w:p w14:paraId="4968856E" w14:textId="1EE71288"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t</w:t>
      </w:r>
      <w:r w:rsidR="00015396" w:rsidRPr="005A7E3F">
        <w:rPr>
          <w:rFonts w:ascii="Book Antiqua" w:hAnsi="Book Antiqua"/>
          <w:sz w:val="24"/>
          <w:szCs w:val="24"/>
        </w:rPr>
        <w:t>he scope of discovery, service of lists of documents, and the provision of copy documents;</w:t>
      </w:r>
    </w:p>
    <w:p w14:paraId="49D3A573" w14:textId="21BEAE52"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w</w:t>
      </w:r>
      <w:r w:rsidR="00015396" w:rsidRPr="005A7E3F">
        <w:rPr>
          <w:rFonts w:ascii="Book Antiqua" w:hAnsi="Book Antiqua"/>
          <w:sz w:val="24"/>
          <w:szCs w:val="24"/>
        </w:rPr>
        <w:t>hether expert evidence is appropriate for the resolution of the issues in dispute and, if so, the nature and scope of any likely expert evidence;</w:t>
      </w:r>
    </w:p>
    <w:p w14:paraId="577F1A79" w14:textId="2B323B22"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w</w:t>
      </w:r>
      <w:r w:rsidR="00015396" w:rsidRPr="005A7E3F">
        <w:rPr>
          <w:rFonts w:ascii="Book Antiqua" w:hAnsi="Book Antiqua"/>
          <w:sz w:val="24"/>
          <w:szCs w:val="24"/>
        </w:rPr>
        <w:t>hether experts have been or are expected to be retained for the purposes of the proceeding, and whether a common expert might be jointly retained;</w:t>
      </w:r>
    </w:p>
    <w:p w14:paraId="42276ACD" w14:textId="41135BCC"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t</w:t>
      </w:r>
      <w:r w:rsidR="00015396" w:rsidRPr="005A7E3F">
        <w:rPr>
          <w:rFonts w:ascii="Book Antiqua" w:hAnsi="Book Antiqua"/>
          <w:sz w:val="24"/>
          <w:szCs w:val="24"/>
        </w:rPr>
        <w:t>he timing for the filing and service of any evidence or affidavits; and</w:t>
      </w:r>
    </w:p>
    <w:p w14:paraId="7D3901F3" w14:textId="1EB56FC9" w:rsidR="00015396" w:rsidRPr="005A7E3F" w:rsidRDefault="00BE5BB7" w:rsidP="00AC5DB9">
      <w:pPr>
        <w:pStyle w:val="ListParagraph"/>
        <w:numPr>
          <w:ilvl w:val="0"/>
          <w:numId w:val="6"/>
        </w:numPr>
        <w:spacing w:before="120" w:after="120"/>
        <w:ind w:left="1440" w:hanging="540"/>
        <w:jc w:val="both"/>
        <w:rPr>
          <w:rFonts w:ascii="Book Antiqua" w:hAnsi="Book Antiqua"/>
          <w:sz w:val="24"/>
          <w:szCs w:val="24"/>
        </w:rPr>
      </w:pPr>
      <w:r>
        <w:rPr>
          <w:rFonts w:ascii="Book Antiqua" w:hAnsi="Book Antiqua"/>
          <w:sz w:val="24"/>
          <w:szCs w:val="24"/>
        </w:rPr>
        <w:t>w</w:t>
      </w:r>
      <w:r w:rsidR="00015396" w:rsidRPr="005A7E3F">
        <w:rPr>
          <w:rFonts w:ascii="Book Antiqua" w:hAnsi="Book Antiqua"/>
          <w:sz w:val="24"/>
          <w:szCs w:val="24"/>
        </w:rPr>
        <w:t>hether an order should be made for the separate trial of any question.</w:t>
      </w:r>
    </w:p>
    <w:p w14:paraId="5BB74504" w14:textId="02647E64" w:rsidR="00EE72C0" w:rsidRPr="005A7E3F" w:rsidRDefault="00EE72C0"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In considering the matters set out in paragraph 6.3, and any other directions required to progress the matter, parties should note that:</w:t>
      </w:r>
    </w:p>
    <w:p w14:paraId="20DF9B86" w14:textId="318E4138" w:rsidR="00EE72C0" w:rsidRPr="005A7E3F" w:rsidRDefault="002B43DF" w:rsidP="00AC5DB9">
      <w:pPr>
        <w:numPr>
          <w:ilvl w:val="0"/>
          <w:numId w:val="7"/>
        </w:numPr>
        <w:spacing w:before="120" w:after="120"/>
        <w:ind w:left="1440" w:hanging="540"/>
        <w:jc w:val="both"/>
        <w:rPr>
          <w:rFonts w:ascii="Book Antiqua" w:hAnsi="Book Antiqua"/>
        </w:rPr>
      </w:pPr>
      <w:r>
        <w:rPr>
          <w:rFonts w:ascii="Book Antiqua" w:hAnsi="Book Antiqua"/>
        </w:rPr>
        <w:t>l</w:t>
      </w:r>
      <w:r w:rsidR="00EE72C0" w:rsidRPr="005A7E3F">
        <w:rPr>
          <w:rFonts w:ascii="Book Antiqua" w:hAnsi="Book Antiqua"/>
        </w:rPr>
        <w:t>eave is required for the filing and service of interrogatories, notwithstanding any consent minutes filed by the parties providing for them; and</w:t>
      </w:r>
    </w:p>
    <w:p w14:paraId="3D5E1AD4" w14:textId="3968DAF5" w:rsidR="00EE72C0" w:rsidRPr="005A7E3F" w:rsidRDefault="002B43DF" w:rsidP="00AC5DB9">
      <w:pPr>
        <w:numPr>
          <w:ilvl w:val="0"/>
          <w:numId w:val="7"/>
        </w:numPr>
        <w:spacing w:before="120" w:after="120"/>
        <w:ind w:left="1440" w:hanging="540"/>
        <w:jc w:val="both"/>
        <w:rPr>
          <w:rFonts w:ascii="Book Antiqua" w:hAnsi="Book Antiqua"/>
        </w:rPr>
      </w:pPr>
      <w:r>
        <w:rPr>
          <w:rFonts w:ascii="Book Antiqua" w:hAnsi="Book Antiqua"/>
        </w:rPr>
        <w:t>g</w:t>
      </w:r>
      <w:r w:rsidR="00EE72C0" w:rsidRPr="005A7E3F">
        <w:rPr>
          <w:rFonts w:ascii="Book Antiqua" w:hAnsi="Book Antiqua"/>
        </w:rPr>
        <w:t>enerally, orders will not be made for witness statements and all witnesses will be required to give oral evidence at trial.</w:t>
      </w:r>
    </w:p>
    <w:p w14:paraId="4189C68D" w14:textId="7D612B70" w:rsidR="00015396"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Consent orders will not usually be made on the papers prior to the first directions hearing.</w:t>
      </w:r>
    </w:p>
    <w:p w14:paraId="5C156039" w14:textId="77777777" w:rsidR="00400B2E" w:rsidRPr="005A7E3F" w:rsidRDefault="00400B2E" w:rsidP="00AC5DB9">
      <w:pPr>
        <w:autoSpaceDE w:val="0"/>
        <w:autoSpaceDN w:val="0"/>
        <w:adjustRightInd w:val="0"/>
        <w:spacing w:before="120" w:after="120"/>
        <w:jc w:val="both"/>
        <w:rPr>
          <w:rFonts w:ascii="Book Antiqua" w:hAnsi="Book Antiqua"/>
          <w:b/>
        </w:rPr>
      </w:pPr>
    </w:p>
    <w:p w14:paraId="0D7CFF6F" w14:textId="3C0C5D64" w:rsidR="00400B2E" w:rsidRPr="005A7E3F" w:rsidRDefault="00775612" w:rsidP="00AC5DB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b/>
          <w:sz w:val="24"/>
          <w:szCs w:val="24"/>
        </w:rPr>
        <w:t>MANAGEMENT OF PROCEEDINGS FOLLOWING THE FIRST DIRECTIONS HEARING</w:t>
      </w:r>
    </w:p>
    <w:p w14:paraId="25A792AC" w14:textId="77777777" w:rsidR="00775612"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 xml:space="preserve">The Court expects all parties to cooperate with one another to achieve the just and efficient resolution of the proceeding in accordance with the </w:t>
      </w:r>
      <w:r w:rsidRPr="004D0DD3">
        <w:rPr>
          <w:rFonts w:ascii="Book Antiqua" w:hAnsi="Book Antiqua"/>
          <w:i/>
          <w:sz w:val="24"/>
          <w:szCs w:val="24"/>
        </w:rPr>
        <w:t>Civil Procedure Act 2010</w:t>
      </w:r>
      <w:r w:rsidRPr="005A7E3F">
        <w:rPr>
          <w:rFonts w:ascii="Book Antiqua" w:hAnsi="Book Antiqua"/>
          <w:sz w:val="24"/>
          <w:szCs w:val="24"/>
        </w:rPr>
        <w:t>.</w:t>
      </w:r>
    </w:p>
    <w:p w14:paraId="6842EF13" w14:textId="66230DFA" w:rsidR="00775612"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The Judge may refer the management of a proceeding, or a specific matter arising in the course of a proceeding, to the Associate Judge.</w:t>
      </w:r>
    </w:p>
    <w:p w14:paraId="5E352594" w14:textId="20F5B602" w:rsidR="00775612"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lastRenderedPageBreak/>
        <w:t>The following matters will not be dealt with at a directions hearing before the Judge and should be determined by the Associate Judge (unless the Judge orders otherwise):</w:t>
      </w:r>
    </w:p>
    <w:p w14:paraId="37EF906F" w14:textId="06A4CC23" w:rsidR="00775612" w:rsidRPr="005A7E3F" w:rsidRDefault="002B43DF" w:rsidP="00AC5DB9">
      <w:pPr>
        <w:numPr>
          <w:ilvl w:val="0"/>
          <w:numId w:val="8"/>
        </w:numPr>
        <w:spacing w:before="120" w:after="120"/>
        <w:ind w:right="26"/>
        <w:contextualSpacing/>
        <w:jc w:val="both"/>
        <w:rPr>
          <w:rFonts w:ascii="Book Antiqua" w:hAnsi="Book Antiqua"/>
        </w:rPr>
      </w:pPr>
      <w:r>
        <w:rPr>
          <w:rFonts w:ascii="Book Antiqua" w:hAnsi="Book Antiqua"/>
        </w:rPr>
        <w:t>d</w:t>
      </w:r>
      <w:r w:rsidR="00775612" w:rsidRPr="005A7E3F">
        <w:rPr>
          <w:rFonts w:ascii="Book Antiqua" w:hAnsi="Book Antiqua"/>
        </w:rPr>
        <w:t>iscovery disputes;</w:t>
      </w:r>
    </w:p>
    <w:p w14:paraId="7C84BADA" w14:textId="7B381A1A" w:rsidR="00775612" w:rsidRPr="005A7E3F" w:rsidRDefault="002B43DF" w:rsidP="00AC5DB9">
      <w:pPr>
        <w:numPr>
          <w:ilvl w:val="0"/>
          <w:numId w:val="8"/>
        </w:numPr>
        <w:spacing w:before="120" w:after="120"/>
        <w:jc w:val="both"/>
        <w:rPr>
          <w:rFonts w:ascii="Book Antiqua" w:hAnsi="Book Antiqua"/>
        </w:rPr>
      </w:pPr>
      <w:r>
        <w:rPr>
          <w:rFonts w:ascii="Book Antiqua" w:hAnsi="Book Antiqua"/>
        </w:rPr>
        <w:t>d</w:t>
      </w:r>
      <w:r w:rsidR="00775612" w:rsidRPr="005A7E3F">
        <w:rPr>
          <w:rFonts w:ascii="Book Antiqua" w:hAnsi="Book Antiqua"/>
        </w:rPr>
        <w:t>isputes concerning the giving or adequacy of pleadings and particulars;</w:t>
      </w:r>
    </w:p>
    <w:p w14:paraId="0B0136CF" w14:textId="324E4AE9" w:rsidR="00775612" w:rsidRPr="005A7E3F" w:rsidRDefault="002B43DF" w:rsidP="00AC5DB9">
      <w:pPr>
        <w:numPr>
          <w:ilvl w:val="0"/>
          <w:numId w:val="8"/>
        </w:numPr>
        <w:spacing w:before="120" w:after="120"/>
        <w:jc w:val="both"/>
        <w:rPr>
          <w:rFonts w:ascii="Book Antiqua" w:hAnsi="Book Antiqua"/>
        </w:rPr>
      </w:pPr>
      <w:r>
        <w:rPr>
          <w:rFonts w:ascii="Book Antiqua" w:hAnsi="Book Antiqua"/>
        </w:rPr>
        <w:t>a</w:t>
      </w:r>
      <w:r w:rsidR="00775612" w:rsidRPr="005A7E3F">
        <w:rPr>
          <w:rFonts w:ascii="Book Antiqua" w:hAnsi="Book Antiqua"/>
        </w:rPr>
        <w:t>pplications for security for costs;</w:t>
      </w:r>
    </w:p>
    <w:p w14:paraId="48A04F2F" w14:textId="009CA30B" w:rsidR="00775612" w:rsidRPr="005A7E3F" w:rsidRDefault="002B43DF" w:rsidP="00AC5DB9">
      <w:pPr>
        <w:numPr>
          <w:ilvl w:val="0"/>
          <w:numId w:val="8"/>
        </w:numPr>
        <w:spacing w:before="120" w:after="120"/>
        <w:jc w:val="both"/>
        <w:rPr>
          <w:rFonts w:ascii="Book Antiqua" w:hAnsi="Book Antiqua"/>
        </w:rPr>
      </w:pPr>
      <w:r>
        <w:rPr>
          <w:rFonts w:ascii="Book Antiqua" w:hAnsi="Book Antiqua"/>
        </w:rPr>
        <w:t>t</w:t>
      </w:r>
      <w:r w:rsidR="00775612" w:rsidRPr="005A7E3F">
        <w:rPr>
          <w:rFonts w:ascii="Book Antiqua" w:hAnsi="Book Antiqua"/>
        </w:rPr>
        <w:t>he joinder of any parties;</w:t>
      </w:r>
    </w:p>
    <w:p w14:paraId="490A8974" w14:textId="14277AAC" w:rsidR="00775612" w:rsidRPr="005A7E3F" w:rsidRDefault="002B43DF" w:rsidP="00AC5DB9">
      <w:pPr>
        <w:numPr>
          <w:ilvl w:val="0"/>
          <w:numId w:val="8"/>
        </w:numPr>
        <w:spacing w:before="120" w:after="120"/>
        <w:jc w:val="both"/>
        <w:rPr>
          <w:rFonts w:ascii="Book Antiqua" w:hAnsi="Book Antiqua"/>
        </w:rPr>
      </w:pPr>
      <w:r>
        <w:rPr>
          <w:rFonts w:ascii="Book Antiqua" w:hAnsi="Book Antiqua"/>
        </w:rPr>
        <w:t>a</w:t>
      </w:r>
      <w:r w:rsidR="00775612" w:rsidRPr="005A7E3F">
        <w:rPr>
          <w:rFonts w:ascii="Book Antiqua" w:hAnsi="Book Antiqua"/>
        </w:rPr>
        <w:t>pplications to strike out proceedings or for summary judgment; and</w:t>
      </w:r>
    </w:p>
    <w:p w14:paraId="3447F6A4" w14:textId="4999C943" w:rsidR="00775612" w:rsidRPr="005A7E3F" w:rsidRDefault="002B43DF" w:rsidP="00AC5DB9">
      <w:pPr>
        <w:numPr>
          <w:ilvl w:val="0"/>
          <w:numId w:val="8"/>
        </w:numPr>
        <w:spacing w:before="120" w:after="120"/>
        <w:jc w:val="both"/>
        <w:rPr>
          <w:rFonts w:ascii="Book Antiqua" w:hAnsi="Book Antiqua"/>
        </w:rPr>
      </w:pPr>
      <w:r>
        <w:rPr>
          <w:rFonts w:ascii="Book Antiqua" w:hAnsi="Book Antiqua"/>
        </w:rPr>
        <w:t>d</w:t>
      </w:r>
      <w:r w:rsidR="00775612" w:rsidRPr="005A7E3F">
        <w:rPr>
          <w:rFonts w:ascii="Book Antiqua" w:hAnsi="Book Antiqua"/>
        </w:rPr>
        <w:t>isputes concerning subpoenas.</w:t>
      </w:r>
    </w:p>
    <w:p w14:paraId="3B668C0A" w14:textId="6698A01B" w:rsidR="00775612"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 xml:space="preserve">Parties seeking to arrange a hearing of an application set out in paragraph 7.3 should contact the Associate to the Associate Judge in the first instance. </w:t>
      </w:r>
      <w:r w:rsidR="00E81517">
        <w:rPr>
          <w:rFonts w:ascii="Book Antiqua" w:hAnsi="Book Antiqua"/>
          <w:sz w:val="24"/>
          <w:szCs w:val="24"/>
        </w:rPr>
        <w:t xml:space="preserve"> </w:t>
      </w:r>
      <w:r w:rsidRPr="005A7E3F">
        <w:rPr>
          <w:rFonts w:ascii="Book Antiqua" w:hAnsi="Book Antiqua"/>
          <w:sz w:val="24"/>
          <w:szCs w:val="24"/>
        </w:rPr>
        <w:t>Parties will be advised of the time and date that the summons should be made returnable.</w:t>
      </w:r>
    </w:p>
    <w:p w14:paraId="68171C85" w14:textId="77777777" w:rsidR="00775612" w:rsidRPr="005A7E3F" w:rsidRDefault="00775612" w:rsidP="00AC5DB9">
      <w:pPr>
        <w:spacing w:before="120" w:after="120"/>
        <w:ind w:left="720" w:right="26" w:hanging="720"/>
        <w:contextualSpacing/>
        <w:jc w:val="both"/>
        <w:rPr>
          <w:rFonts w:ascii="Book Antiqua" w:hAnsi="Book Antiqua"/>
        </w:rPr>
      </w:pPr>
      <w:r w:rsidRPr="005A7E3F" w:rsidDel="00CA48DC">
        <w:rPr>
          <w:rFonts w:ascii="Book Antiqua" w:hAnsi="Book Antiqua"/>
        </w:rPr>
        <w:t xml:space="preserve"> </w:t>
      </w:r>
    </w:p>
    <w:p w14:paraId="59ADFFB1" w14:textId="77777777" w:rsidR="00775612" w:rsidRPr="005A7E3F" w:rsidRDefault="00775612" w:rsidP="00AC5DB9">
      <w:pPr>
        <w:keepNext/>
        <w:spacing w:before="120" w:after="120"/>
        <w:ind w:left="720"/>
        <w:contextualSpacing/>
        <w:jc w:val="both"/>
        <w:rPr>
          <w:rFonts w:ascii="Book Antiqua" w:hAnsi="Book Antiqua"/>
          <w:i/>
        </w:rPr>
      </w:pPr>
      <w:r w:rsidRPr="005A7E3F">
        <w:rPr>
          <w:rFonts w:ascii="Book Antiqua" w:hAnsi="Book Antiqua"/>
          <w:i/>
        </w:rPr>
        <w:t>Joinder applications</w:t>
      </w:r>
    </w:p>
    <w:p w14:paraId="74DE7B70" w14:textId="072FA8E5" w:rsidR="00775612"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An application for leave to join a third party or another party should be brought by summons, supported by an affidavit setting out the basis for the joinder and including a proposed statement of claim against the party to be joined.</w:t>
      </w:r>
    </w:p>
    <w:p w14:paraId="2A566142" w14:textId="28A7EF6B" w:rsidR="00775612"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 xml:space="preserve">Parties should make any application for joinder at the earliest opportunity. </w:t>
      </w:r>
      <w:r w:rsidR="00E81517">
        <w:rPr>
          <w:rFonts w:ascii="Book Antiqua" w:hAnsi="Book Antiqua"/>
          <w:sz w:val="24"/>
          <w:szCs w:val="24"/>
        </w:rPr>
        <w:t xml:space="preserve"> </w:t>
      </w:r>
      <w:r w:rsidRPr="005A7E3F">
        <w:rPr>
          <w:rFonts w:ascii="Book Antiqua" w:hAnsi="Book Antiqua"/>
          <w:sz w:val="24"/>
          <w:szCs w:val="24"/>
        </w:rPr>
        <w:t>The Court will take into account any unnecessary delay on the part of a party in making any application for joinder when exercising its discretion as to whether to allow the application, and in determining the question of costs.</w:t>
      </w:r>
    </w:p>
    <w:p w14:paraId="342B5E43" w14:textId="0FA435D2" w:rsidR="00775612"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The summons and supporting affidavit must be filed and served on all existing parties and the proposed third party or other party within sufficient time to permit the third party or other party to file a notice of appearance and otherwise to determine whether to appear on the hearing of the application, and to enable the party, if joined, to seek or to be subject to directions.</w:t>
      </w:r>
    </w:p>
    <w:p w14:paraId="75C06C18" w14:textId="77777777" w:rsidR="00775612" w:rsidRPr="005A7E3F" w:rsidRDefault="00775612" w:rsidP="00AC5DB9">
      <w:pPr>
        <w:keepNext/>
        <w:spacing w:before="120" w:after="120"/>
        <w:ind w:left="720"/>
        <w:contextualSpacing/>
        <w:jc w:val="both"/>
        <w:rPr>
          <w:rFonts w:ascii="Book Antiqua" w:hAnsi="Book Antiqua"/>
          <w:i/>
        </w:rPr>
      </w:pPr>
      <w:r w:rsidRPr="005A7E3F">
        <w:rPr>
          <w:rFonts w:ascii="Book Antiqua" w:hAnsi="Book Antiqua"/>
          <w:i/>
        </w:rPr>
        <w:t xml:space="preserve">Further directions hearings </w:t>
      </w:r>
    </w:p>
    <w:p w14:paraId="7D5C01B4" w14:textId="7C62D2FF" w:rsidR="00775612"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The Judge may give further directions from time to time in proceedings in the List, including:</w:t>
      </w:r>
    </w:p>
    <w:p w14:paraId="4DBA5625" w14:textId="2BCAFE33" w:rsidR="00775612" w:rsidRPr="005A7E3F" w:rsidRDefault="001C24D1" w:rsidP="00AC5DB9">
      <w:pPr>
        <w:numPr>
          <w:ilvl w:val="0"/>
          <w:numId w:val="9"/>
        </w:numPr>
        <w:spacing w:before="120" w:after="120"/>
        <w:jc w:val="both"/>
        <w:rPr>
          <w:rFonts w:ascii="Book Antiqua" w:hAnsi="Book Antiqua"/>
        </w:rPr>
      </w:pPr>
      <w:r>
        <w:rPr>
          <w:rFonts w:ascii="Book Antiqua" w:hAnsi="Book Antiqua"/>
        </w:rPr>
        <w:t>f</w:t>
      </w:r>
      <w:r w:rsidR="00775612" w:rsidRPr="005A7E3F">
        <w:rPr>
          <w:rFonts w:ascii="Book Antiqua" w:hAnsi="Book Antiqua"/>
        </w:rPr>
        <w:t>ixing a time after which no further party may be joined;</w:t>
      </w:r>
    </w:p>
    <w:p w14:paraId="008797BF" w14:textId="2586A712" w:rsidR="00775612" w:rsidRPr="005A7E3F" w:rsidRDefault="001C24D1" w:rsidP="00AC5DB9">
      <w:pPr>
        <w:numPr>
          <w:ilvl w:val="0"/>
          <w:numId w:val="9"/>
        </w:numPr>
        <w:spacing w:before="120" w:after="120"/>
        <w:jc w:val="both"/>
        <w:rPr>
          <w:rFonts w:ascii="Book Antiqua" w:hAnsi="Book Antiqua"/>
        </w:rPr>
      </w:pPr>
      <w:r>
        <w:rPr>
          <w:rFonts w:ascii="Book Antiqua" w:hAnsi="Book Antiqua"/>
        </w:rPr>
        <w:t>d</w:t>
      </w:r>
      <w:r w:rsidR="00775612" w:rsidRPr="005A7E3F">
        <w:rPr>
          <w:rFonts w:ascii="Book Antiqua" w:hAnsi="Book Antiqua"/>
        </w:rPr>
        <w:t>irections for mediation or other form of appropriate alternative dispute resolution;</w:t>
      </w:r>
    </w:p>
    <w:p w14:paraId="6CD526BE" w14:textId="39C42E63" w:rsidR="00775612" w:rsidRPr="005A7E3F" w:rsidRDefault="001C24D1" w:rsidP="00AC5DB9">
      <w:pPr>
        <w:numPr>
          <w:ilvl w:val="0"/>
          <w:numId w:val="9"/>
        </w:numPr>
        <w:spacing w:before="120" w:after="120"/>
        <w:jc w:val="both"/>
        <w:rPr>
          <w:rFonts w:ascii="Book Antiqua" w:hAnsi="Book Antiqua"/>
        </w:rPr>
      </w:pPr>
      <w:r>
        <w:rPr>
          <w:rFonts w:ascii="Book Antiqua" w:hAnsi="Book Antiqua"/>
        </w:rPr>
        <w:t>d</w:t>
      </w:r>
      <w:r w:rsidR="00775612" w:rsidRPr="005A7E3F">
        <w:rPr>
          <w:rFonts w:ascii="Book Antiqua" w:hAnsi="Book Antiqua"/>
        </w:rPr>
        <w:t>irections for the preparation of the proceeding for trial;</w:t>
      </w:r>
    </w:p>
    <w:p w14:paraId="483C353E" w14:textId="3634656E" w:rsidR="00775612" w:rsidRPr="005A7E3F" w:rsidRDefault="001C24D1" w:rsidP="00AC5DB9">
      <w:pPr>
        <w:numPr>
          <w:ilvl w:val="0"/>
          <w:numId w:val="9"/>
        </w:numPr>
        <w:spacing w:before="120" w:after="120"/>
        <w:jc w:val="both"/>
        <w:rPr>
          <w:rFonts w:ascii="Book Antiqua" w:hAnsi="Book Antiqua"/>
        </w:rPr>
      </w:pPr>
      <w:r>
        <w:rPr>
          <w:rFonts w:ascii="Book Antiqua" w:hAnsi="Book Antiqua"/>
        </w:rPr>
        <w:t>t</w:t>
      </w:r>
      <w:r w:rsidR="00775612" w:rsidRPr="005A7E3F">
        <w:rPr>
          <w:rFonts w:ascii="Book Antiqua" w:hAnsi="Book Antiqua"/>
        </w:rPr>
        <w:t>hat the issues in dispute be reduced to a statement of issues to assist the process of clarifying the real questions for resolution;</w:t>
      </w:r>
    </w:p>
    <w:p w14:paraId="48D37865" w14:textId="13240228" w:rsidR="00775612" w:rsidRPr="005A7E3F" w:rsidRDefault="001C24D1" w:rsidP="00AC5DB9">
      <w:pPr>
        <w:numPr>
          <w:ilvl w:val="0"/>
          <w:numId w:val="9"/>
        </w:numPr>
        <w:spacing w:before="120" w:after="120"/>
        <w:jc w:val="both"/>
        <w:rPr>
          <w:rFonts w:ascii="Book Antiqua" w:hAnsi="Book Antiqua"/>
        </w:rPr>
      </w:pPr>
      <w:r>
        <w:rPr>
          <w:rFonts w:ascii="Book Antiqua" w:hAnsi="Book Antiqua"/>
        </w:rPr>
        <w:t>d</w:t>
      </w:r>
      <w:r w:rsidR="00775612" w:rsidRPr="005A7E3F">
        <w:rPr>
          <w:rFonts w:ascii="Book Antiqua" w:hAnsi="Book Antiqua"/>
        </w:rPr>
        <w:t xml:space="preserve">irections with respect to the preparation of any expert reports and the manner in which evidence will be given by experts including directions under rule 44.06 of the </w:t>
      </w:r>
      <w:r w:rsidR="00775612" w:rsidRPr="005A7E3F">
        <w:rPr>
          <w:rFonts w:ascii="Book Antiqua" w:hAnsi="Book Antiqua"/>
          <w:i/>
        </w:rPr>
        <w:t xml:space="preserve">Supreme Court (General Civil Procedure) Rules </w:t>
      </w:r>
      <w:r w:rsidR="00956D8D" w:rsidRPr="005A7E3F">
        <w:rPr>
          <w:rFonts w:ascii="Book Antiqua" w:hAnsi="Book Antiqua"/>
          <w:i/>
        </w:rPr>
        <w:t>2015</w:t>
      </w:r>
      <w:r w:rsidR="00775612" w:rsidRPr="005A7E3F">
        <w:rPr>
          <w:rFonts w:ascii="Book Antiqua" w:hAnsi="Book Antiqua"/>
        </w:rPr>
        <w:t>;</w:t>
      </w:r>
    </w:p>
    <w:p w14:paraId="73BE919B" w14:textId="67738029" w:rsidR="00775612" w:rsidRPr="005A7E3F" w:rsidRDefault="001C24D1" w:rsidP="00AC5DB9">
      <w:pPr>
        <w:numPr>
          <w:ilvl w:val="0"/>
          <w:numId w:val="9"/>
        </w:numPr>
        <w:spacing w:before="120" w:after="120"/>
        <w:jc w:val="both"/>
        <w:rPr>
          <w:rFonts w:ascii="Book Antiqua" w:hAnsi="Book Antiqua"/>
        </w:rPr>
      </w:pPr>
      <w:r>
        <w:rPr>
          <w:rFonts w:ascii="Book Antiqua" w:hAnsi="Book Antiqua"/>
        </w:rPr>
        <w:lastRenderedPageBreak/>
        <w:t>t</w:t>
      </w:r>
      <w:r w:rsidR="00775612" w:rsidRPr="005A7E3F">
        <w:rPr>
          <w:rFonts w:ascii="Book Antiqua" w:hAnsi="Book Antiqua"/>
        </w:rPr>
        <w:t xml:space="preserve">hat certain questions be heard and determined in a preliminary way; </w:t>
      </w:r>
    </w:p>
    <w:p w14:paraId="70E4DC1F" w14:textId="5508979C" w:rsidR="00775612" w:rsidRPr="005A7E3F" w:rsidRDefault="001C24D1" w:rsidP="00AC5DB9">
      <w:pPr>
        <w:numPr>
          <w:ilvl w:val="0"/>
          <w:numId w:val="9"/>
        </w:numPr>
        <w:spacing w:before="120" w:after="120"/>
        <w:jc w:val="both"/>
        <w:rPr>
          <w:rFonts w:ascii="Book Antiqua" w:hAnsi="Book Antiqua"/>
        </w:rPr>
      </w:pPr>
      <w:r>
        <w:rPr>
          <w:rFonts w:ascii="Book Antiqua" w:hAnsi="Book Antiqua"/>
        </w:rPr>
        <w:t>t</w:t>
      </w:r>
      <w:r w:rsidR="00775612" w:rsidRPr="005A7E3F">
        <w:rPr>
          <w:rFonts w:ascii="Book Antiqua" w:hAnsi="Book Antiqua"/>
        </w:rPr>
        <w:t>hat the evidence and submissions of the parties upon a particular question be heard in a preliminary way;</w:t>
      </w:r>
    </w:p>
    <w:p w14:paraId="16DD71FF" w14:textId="45AD1908" w:rsidR="00775612" w:rsidRPr="005A7E3F" w:rsidRDefault="001C24D1" w:rsidP="00AC5DB9">
      <w:pPr>
        <w:numPr>
          <w:ilvl w:val="0"/>
          <w:numId w:val="9"/>
        </w:numPr>
        <w:spacing w:before="120" w:after="120"/>
        <w:jc w:val="both"/>
        <w:rPr>
          <w:rFonts w:ascii="Book Antiqua" w:hAnsi="Book Antiqua"/>
        </w:rPr>
      </w:pPr>
      <w:r>
        <w:rPr>
          <w:rFonts w:ascii="Book Antiqua" w:hAnsi="Book Antiqua"/>
        </w:rPr>
        <w:t>t</w:t>
      </w:r>
      <w:r w:rsidR="00775612" w:rsidRPr="005A7E3F">
        <w:rPr>
          <w:rFonts w:ascii="Book Antiqua" w:hAnsi="Book Antiqua"/>
        </w:rPr>
        <w:t>hat the evidence of all parties upon a particular question be given before the evidence upon other questions;</w:t>
      </w:r>
    </w:p>
    <w:p w14:paraId="486B0A4B" w14:textId="1CA62E30" w:rsidR="00775612" w:rsidRPr="005A7E3F" w:rsidRDefault="001C24D1" w:rsidP="00AC5DB9">
      <w:pPr>
        <w:numPr>
          <w:ilvl w:val="0"/>
          <w:numId w:val="9"/>
        </w:numPr>
        <w:spacing w:before="120" w:after="120"/>
        <w:jc w:val="both"/>
        <w:rPr>
          <w:rFonts w:ascii="Book Antiqua" w:hAnsi="Book Antiqua"/>
        </w:rPr>
      </w:pPr>
      <w:r>
        <w:rPr>
          <w:rFonts w:ascii="Book Antiqua" w:hAnsi="Book Antiqua"/>
        </w:rPr>
        <w:t>t</w:t>
      </w:r>
      <w:r w:rsidR="00775612" w:rsidRPr="005A7E3F">
        <w:rPr>
          <w:rFonts w:ascii="Book Antiqua" w:hAnsi="Book Antiqua"/>
        </w:rPr>
        <w:t>hat the parties provide an estimate of the likely duration of the trial and a timetable for the conduct of the trial; and</w:t>
      </w:r>
    </w:p>
    <w:p w14:paraId="4D76C419" w14:textId="2E469898" w:rsidR="00775612" w:rsidRPr="005A7E3F" w:rsidRDefault="001C24D1" w:rsidP="00AC5DB9">
      <w:pPr>
        <w:numPr>
          <w:ilvl w:val="0"/>
          <w:numId w:val="9"/>
        </w:numPr>
        <w:spacing w:before="120" w:after="120"/>
        <w:jc w:val="both"/>
        <w:rPr>
          <w:rFonts w:ascii="Book Antiqua" w:hAnsi="Book Antiqua"/>
        </w:rPr>
      </w:pPr>
      <w:r>
        <w:rPr>
          <w:rFonts w:ascii="Book Antiqua" w:hAnsi="Book Antiqua"/>
        </w:rPr>
        <w:t>d</w:t>
      </w:r>
      <w:r w:rsidR="00775612" w:rsidRPr="005A7E3F">
        <w:rPr>
          <w:rFonts w:ascii="Book Antiqua" w:hAnsi="Book Antiqua"/>
        </w:rPr>
        <w:t>irections for the conduct of the trial.</w:t>
      </w:r>
    </w:p>
    <w:p w14:paraId="604DDFA7" w14:textId="77777777" w:rsidR="00775612" w:rsidRPr="005A7E3F" w:rsidRDefault="00775612" w:rsidP="00AC5DB9">
      <w:pPr>
        <w:spacing w:before="120" w:after="120"/>
        <w:ind w:left="720" w:hanging="720"/>
        <w:contextualSpacing/>
        <w:jc w:val="both"/>
        <w:rPr>
          <w:rFonts w:ascii="Book Antiqua" w:hAnsi="Book Antiqua"/>
          <w:b/>
        </w:rPr>
      </w:pPr>
    </w:p>
    <w:p w14:paraId="2689EB14" w14:textId="77777777" w:rsidR="00775612" w:rsidRPr="005A7E3F" w:rsidRDefault="00775612" w:rsidP="00AC5DB9">
      <w:pPr>
        <w:keepNext/>
        <w:spacing w:before="120" w:after="120"/>
        <w:ind w:left="720"/>
        <w:contextualSpacing/>
        <w:jc w:val="both"/>
        <w:rPr>
          <w:rFonts w:ascii="Book Antiqua" w:hAnsi="Book Antiqua"/>
          <w:i/>
        </w:rPr>
      </w:pPr>
      <w:r w:rsidRPr="005A7E3F">
        <w:rPr>
          <w:rFonts w:ascii="Book Antiqua" w:hAnsi="Book Antiqua"/>
          <w:i/>
        </w:rPr>
        <w:t>Final directions hearing</w:t>
      </w:r>
    </w:p>
    <w:p w14:paraId="2ED4EEE7" w14:textId="7CEC8A09" w:rsidR="00775612"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 xml:space="preserve">The </w:t>
      </w:r>
      <w:r w:rsidR="00B7688F" w:rsidRPr="005A7E3F">
        <w:rPr>
          <w:rFonts w:ascii="Book Antiqua" w:hAnsi="Book Antiqua"/>
          <w:sz w:val="24"/>
          <w:szCs w:val="24"/>
        </w:rPr>
        <w:t xml:space="preserve">Judge or </w:t>
      </w:r>
      <w:r w:rsidRPr="005A7E3F">
        <w:rPr>
          <w:rFonts w:ascii="Book Antiqua" w:hAnsi="Book Antiqua"/>
          <w:sz w:val="24"/>
          <w:szCs w:val="24"/>
        </w:rPr>
        <w:t>Associate Judge may convene a final directions hearing, to be held shortly before the date fixed for trial.</w:t>
      </w:r>
    </w:p>
    <w:p w14:paraId="1025521A" w14:textId="291E25D1" w:rsidR="00775612" w:rsidRPr="005A7E3F" w:rsidRDefault="00775612"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At a final directions hearing, each party’s representative should be in a position to deal with the following matters:</w:t>
      </w:r>
    </w:p>
    <w:p w14:paraId="02CB71E9" w14:textId="6558B8B0" w:rsidR="00775612" w:rsidRPr="005A7E3F" w:rsidRDefault="001C24D1" w:rsidP="00AC5DB9">
      <w:pPr>
        <w:numPr>
          <w:ilvl w:val="0"/>
          <w:numId w:val="10"/>
        </w:numPr>
        <w:spacing w:before="120" w:after="120"/>
        <w:jc w:val="both"/>
        <w:rPr>
          <w:rFonts w:ascii="Book Antiqua" w:hAnsi="Book Antiqua"/>
        </w:rPr>
      </w:pPr>
      <w:r>
        <w:rPr>
          <w:rFonts w:ascii="Book Antiqua" w:hAnsi="Book Antiqua"/>
        </w:rPr>
        <w:t>w</w:t>
      </w:r>
      <w:r w:rsidR="00775612" w:rsidRPr="005A7E3F">
        <w:rPr>
          <w:rFonts w:ascii="Book Antiqua" w:hAnsi="Book Antiqua"/>
        </w:rPr>
        <w:t>hether the trial is ready to proceed on the proposed commencement date;</w:t>
      </w:r>
    </w:p>
    <w:p w14:paraId="51DDAF8A" w14:textId="17B21DFE" w:rsidR="00775612" w:rsidRPr="005A7E3F" w:rsidRDefault="001C24D1" w:rsidP="00AC5DB9">
      <w:pPr>
        <w:numPr>
          <w:ilvl w:val="0"/>
          <w:numId w:val="10"/>
        </w:numPr>
        <w:spacing w:before="120" w:after="120"/>
        <w:jc w:val="both"/>
        <w:rPr>
          <w:rFonts w:ascii="Book Antiqua" w:hAnsi="Book Antiqua"/>
        </w:rPr>
      </w:pPr>
      <w:r>
        <w:rPr>
          <w:rFonts w:ascii="Book Antiqua" w:hAnsi="Book Antiqua"/>
        </w:rPr>
        <w:t>w</w:t>
      </w:r>
      <w:r w:rsidR="00775612" w:rsidRPr="005A7E3F">
        <w:rPr>
          <w:rFonts w:ascii="Book Antiqua" w:hAnsi="Book Antiqua"/>
        </w:rPr>
        <w:t>hether any applicable timetable is still appropriate;</w:t>
      </w:r>
    </w:p>
    <w:p w14:paraId="40A42E4E" w14:textId="27355BE3" w:rsidR="00775612" w:rsidRPr="005A7E3F" w:rsidRDefault="001C24D1" w:rsidP="00AC5DB9">
      <w:pPr>
        <w:numPr>
          <w:ilvl w:val="0"/>
          <w:numId w:val="10"/>
        </w:numPr>
        <w:spacing w:before="120" w:after="120"/>
        <w:jc w:val="both"/>
        <w:rPr>
          <w:rFonts w:ascii="Book Antiqua" w:hAnsi="Book Antiqua"/>
        </w:rPr>
      </w:pPr>
      <w:r>
        <w:rPr>
          <w:rFonts w:ascii="Book Antiqua" w:hAnsi="Book Antiqua"/>
        </w:rPr>
        <w:t>w</w:t>
      </w:r>
      <w:r w:rsidR="00775612" w:rsidRPr="005A7E3F">
        <w:rPr>
          <w:rFonts w:ascii="Book Antiqua" w:hAnsi="Book Antiqua"/>
        </w:rPr>
        <w:t>hether the estimates previously provided with respect to the length of the trial remain accurate; and</w:t>
      </w:r>
    </w:p>
    <w:p w14:paraId="48FD28D4" w14:textId="26947049" w:rsidR="00AF541C" w:rsidRPr="005A7E3F" w:rsidRDefault="001C24D1" w:rsidP="00AC5DB9">
      <w:pPr>
        <w:numPr>
          <w:ilvl w:val="0"/>
          <w:numId w:val="10"/>
        </w:numPr>
        <w:spacing w:before="120" w:after="120"/>
        <w:jc w:val="both"/>
        <w:rPr>
          <w:rFonts w:ascii="Book Antiqua" w:hAnsi="Book Antiqua"/>
        </w:rPr>
      </w:pPr>
      <w:r>
        <w:rPr>
          <w:rFonts w:ascii="Book Antiqua" w:hAnsi="Book Antiqua"/>
        </w:rPr>
        <w:t>w</w:t>
      </w:r>
      <w:r w:rsidR="00775612" w:rsidRPr="005A7E3F">
        <w:rPr>
          <w:rFonts w:ascii="Book Antiqua" w:hAnsi="Book Antiqua"/>
        </w:rPr>
        <w:t>hether a mediation or a further mediation would be likely to achieve a settlement of some or all of the questions in issue</w:t>
      </w:r>
      <w:r w:rsidR="00606FC8">
        <w:rPr>
          <w:rFonts w:ascii="Book Antiqua" w:hAnsi="Book Antiqua"/>
        </w:rPr>
        <w:t>.</w:t>
      </w:r>
    </w:p>
    <w:p w14:paraId="20C37F73" w14:textId="77777777" w:rsidR="00451E61" w:rsidRPr="001C24D1" w:rsidRDefault="00451E61" w:rsidP="00AC5DB9">
      <w:pPr>
        <w:keepNext/>
        <w:autoSpaceDE w:val="0"/>
        <w:autoSpaceDN w:val="0"/>
        <w:adjustRightInd w:val="0"/>
        <w:spacing w:before="120" w:after="120"/>
        <w:jc w:val="both"/>
        <w:rPr>
          <w:rFonts w:ascii="Book Antiqua" w:hAnsi="Book Antiqua"/>
          <w:b/>
        </w:rPr>
      </w:pPr>
    </w:p>
    <w:p w14:paraId="67FF4F57" w14:textId="5CABA193" w:rsidR="00A6250F" w:rsidRPr="005A7E3F" w:rsidRDefault="00A6250F" w:rsidP="00AC5DB9">
      <w:pPr>
        <w:pStyle w:val="ListParagraph"/>
        <w:keepNext/>
        <w:numPr>
          <w:ilvl w:val="0"/>
          <w:numId w:val="2"/>
        </w:numPr>
        <w:autoSpaceDE w:val="0"/>
        <w:autoSpaceDN w:val="0"/>
        <w:adjustRightInd w:val="0"/>
        <w:spacing w:before="120" w:after="120"/>
        <w:jc w:val="both"/>
        <w:rPr>
          <w:rFonts w:ascii="Book Antiqua" w:hAnsi="Book Antiqua"/>
          <w:b/>
          <w:sz w:val="24"/>
          <w:szCs w:val="24"/>
        </w:rPr>
      </w:pPr>
      <w:r>
        <w:rPr>
          <w:rFonts w:ascii="Book Antiqua" w:hAnsi="Book Antiqua"/>
          <w:b/>
          <w:sz w:val="24"/>
          <w:szCs w:val="24"/>
        </w:rPr>
        <w:t>TRANSCRIPT</w:t>
      </w:r>
    </w:p>
    <w:p w14:paraId="3E43A04C" w14:textId="093B1642" w:rsidR="00A6250F" w:rsidRPr="00D96AEE" w:rsidRDefault="00A6250F"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D96AEE">
        <w:rPr>
          <w:rFonts w:ascii="Book Antiqua" w:hAnsi="Book Antiqua"/>
          <w:sz w:val="24"/>
          <w:szCs w:val="24"/>
        </w:rPr>
        <w:t xml:space="preserve">To ensure the efficient management of cases </w:t>
      </w:r>
      <w:r>
        <w:rPr>
          <w:rFonts w:ascii="Book Antiqua" w:hAnsi="Book Antiqua"/>
          <w:sz w:val="24"/>
          <w:szCs w:val="24"/>
        </w:rPr>
        <w:t xml:space="preserve">in </w:t>
      </w:r>
      <w:r w:rsidR="000C39A3">
        <w:rPr>
          <w:rFonts w:ascii="Book Antiqua" w:hAnsi="Book Antiqua"/>
          <w:sz w:val="24"/>
          <w:szCs w:val="24"/>
        </w:rPr>
        <w:t xml:space="preserve">the List </w:t>
      </w:r>
      <w:r w:rsidRPr="00D96AEE">
        <w:rPr>
          <w:rFonts w:ascii="Book Antiqua" w:hAnsi="Book Antiqua"/>
          <w:sz w:val="24"/>
          <w:szCs w:val="24"/>
        </w:rPr>
        <w:t>the Court has determined that</w:t>
      </w:r>
      <w:r>
        <w:rPr>
          <w:rFonts w:ascii="Book Antiqua" w:hAnsi="Book Antiqua"/>
          <w:sz w:val="24"/>
          <w:szCs w:val="24"/>
        </w:rPr>
        <w:t xml:space="preserve"> </w:t>
      </w:r>
      <w:r w:rsidRPr="00D96AEE">
        <w:rPr>
          <w:rFonts w:ascii="Book Antiqua" w:hAnsi="Book Antiqua"/>
          <w:sz w:val="24"/>
          <w:szCs w:val="24"/>
        </w:rPr>
        <w:t>transcript</w:t>
      </w:r>
      <w:r>
        <w:rPr>
          <w:rFonts w:ascii="Book Antiqua" w:hAnsi="Book Antiqua"/>
          <w:sz w:val="24"/>
          <w:szCs w:val="24"/>
        </w:rPr>
        <w:t xml:space="preserve"> will be required for all d</w:t>
      </w:r>
      <w:r w:rsidRPr="00D96AEE">
        <w:rPr>
          <w:rFonts w:ascii="Book Antiqua" w:hAnsi="Book Antiqua"/>
          <w:sz w:val="24"/>
          <w:szCs w:val="24"/>
        </w:rPr>
        <w:t xml:space="preserve">irections and </w:t>
      </w:r>
      <w:r>
        <w:rPr>
          <w:rFonts w:ascii="Book Antiqua" w:hAnsi="Book Antiqua"/>
          <w:sz w:val="24"/>
          <w:szCs w:val="24"/>
        </w:rPr>
        <w:t>i</w:t>
      </w:r>
      <w:r w:rsidRPr="00D96AEE">
        <w:rPr>
          <w:rFonts w:ascii="Book Antiqua" w:hAnsi="Book Antiqua"/>
          <w:sz w:val="24"/>
          <w:szCs w:val="24"/>
        </w:rPr>
        <w:t>nterlocutory hearings</w:t>
      </w:r>
      <w:r>
        <w:rPr>
          <w:rFonts w:ascii="Book Antiqua" w:hAnsi="Book Antiqua"/>
          <w:sz w:val="24"/>
          <w:szCs w:val="24"/>
        </w:rPr>
        <w:t xml:space="preserve"> subject to any contrary order under s 130</w:t>
      </w:r>
      <w:r w:rsidRPr="00D96AEE">
        <w:rPr>
          <w:rFonts w:ascii="Book Antiqua" w:hAnsi="Book Antiqua"/>
          <w:sz w:val="24"/>
          <w:szCs w:val="24"/>
        </w:rPr>
        <w:t xml:space="preserve"> of the </w:t>
      </w:r>
      <w:r w:rsidRPr="00451E61">
        <w:rPr>
          <w:rFonts w:ascii="Book Antiqua" w:hAnsi="Book Antiqua"/>
          <w:i/>
          <w:sz w:val="24"/>
          <w:szCs w:val="24"/>
        </w:rPr>
        <w:t xml:space="preserve">Evidence </w:t>
      </w:r>
      <w:r w:rsidRPr="000C39A3">
        <w:rPr>
          <w:rFonts w:ascii="Book Antiqua" w:hAnsi="Book Antiqua"/>
          <w:i/>
          <w:sz w:val="24"/>
          <w:szCs w:val="24"/>
        </w:rPr>
        <w:t>(Miscellaneous Provisions) Act 1958</w:t>
      </w:r>
      <w:r w:rsidRPr="00D96AEE">
        <w:rPr>
          <w:rFonts w:ascii="Book Antiqua" w:hAnsi="Book Antiqua"/>
          <w:sz w:val="24"/>
          <w:szCs w:val="24"/>
        </w:rPr>
        <w:t>.</w:t>
      </w:r>
    </w:p>
    <w:p w14:paraId="43695AAD" w14:textId="4F1EABBD" w:rsidR="00A6250F" w:rsidRPr="00E871D6" w:rsidRDefault="00A6250F"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E871D6">
        <w:rPr>
          <w:rFonts w:ascii="Book Antiqua" w:hAnsi="Book Antiqua"/>
          <w:sz w:val="24"/>
          <w:szCs w:val="24"/>
        </w:rPr>
        <w:t xml:space="preserve">At the time of commencement of </w:t>
      </w:r>
      <w:r>
        <w:rPr>
          <w:rFonts w:ascii="Book Antiqua" w:hAnsi="Book Antiqua"/>
          <w:sz w:val="24"/>
          <w:szCs w:val="24"/>
        </w:rPr>
        <w:t xml:space="preserve">a </w:t>
      </w:r>
      <w:r w:rsidRPr="00E871D6">
        <w:rPr>
          <w:rFonts w:ascii="Book Antiqua" w:hAnsi="Book Antiqua"/>
          <w:sz w:val="24"/>
          <w:szCs w:val="24"/>
        </w:rPr>
        <w:t xml:space="preserve">proceeding, or </w:t>
      </w:r>
      <w:r>
        <w:rPr>
          <w:rFonts w:ascii="Book Antiqua" w:hAnsi="Book Antiqua"/>
          <w:sz w:val="24"/>
          <w:szCs w:val="24"/>
        </w:rPr>
        <w:t xml:space="preserve">upon  </w:t>
      </w:r>
      <w:r w:rsidRPr="00E871D6">
        <w:rPr>
          <w:rFonts w:ascii="Book Antiqua" w:hAnsi="Book Antiqua"/>
          <w:sz w:val="24"/>
          <w:szCs w:val="24"/>
        </w:rPr>
        <w:t>ent</w:t>
      </w:r>
      <w:r w:rsidR="001C24D1">
        <w:rPr>
          <w:rFonts w:ascii="Book Antiqua" w:hAnsi="Book Antiqua"/>
          <w:sz w:val="24"/>
          <w:szCs w:val="24"/>
        </w:rPr>
        <w:t>ry to</w:t>
      </w:r>
      <w:r w:rsidRPr="00E871D6">
        <w:rPr>
          <w:rFonts w:ascii="Book Antiqua" w:hAnsi="Book Antiqua"/>
          <w:sz w:val="24"/>
          <w:szCs w:val="24"/>
        </w:rPr>
        <w:t xml:space="preserve"> </w:t>
      </w:r>
      <w:r>
        <w:rPr>
          <w:rFonts w:ascii="Book Antiqua" w:hAnsi="Book Antiqua"/>
          <w:sz w:val="24"/>
          <w:szCs w:val="24"/>
        </w:rPr>
        <w:t xml:space="preserve">the </w:t>
      </w:r>
      <w:r w:rsidR="000C39A3">
        <w:rPr>
          <w:rFonts w:ascii="Book Antiqua" w:hAnsi="Book Antiqua"/>
          <w:sz w:val="24"/>
          <w:szCs w:val="24"/>
        </w:rPr>
        <w:t>List</w:t>
      </w:r>
      <w:r w:rsidRPr="00E871D6">
        <w:rPr>
          <w:rFonts w:ascii="Book Antiqua" w:hAnsi="Book Antiqua"/>
          <w:sz w:val="24"/>
          <w:szCs w:val="24"/>
        </w:rPr>
        <w:t xml:space="preserve">, the </w:t>
      </w:r>
      <w:r w:rsidR="001C24D1">
        <w:rPr>
          <w:rFonts w:ascii="Book Antiqua" w:hAnsi="Book Antiqua"/>
          <w:sz w:val="24"/>
          <w:szCs w:val="24"/>
        </w:rPr>
        <w:t>plaintiff</w:t>
      </w:r>
      <w:r w:rsidRPr="00E871D6">
        <w:rPr>
          <w:rFonts w:ascii="Book Antiqua" w:hAnsi="Book Antiqua"/>
          <w:sz w:val="24"/>
          <w:szCs w:val="24"/>
        </w:rPr>
        <w:t xml:space="preserve"> shall </w:t>
      </w:r>
      <w:r>
        <w:rPr>
          <w:rFonts w:ascii="Book Antiqua" w:hAnsi="Book Antiqua"/>
          <w:sz w:val="24"/>
          <w:szCs w:val="24"/>
        </w:rPr>
        <w:t xml:space="preserve">complete </w:t>
      </w:r>
      <w:r w:rsidRPr="00E871D6">
        <w:rPr>
          <w:rFonts w:ascii="Book Antiqua" w:hAnsi="Book Antiqua"/>
          <w:sz w:val="24"/>
          <w:szCs w:val="24"/>
        </w:rPr>
        <w:t>a signed purchase order directed to the preferred supplier for the provision of recording and transcription services for all directions hearings and all other interlocutory hearings</w:t>
      </w:r>
      <w:r>
        <w:rPr>
          <w:rFonts w:ascii="Book Antiqua" w:hAnsi="Book Antiqua"/>
          <w:sz w:val="24"/>
          <w:szCs w:val="24"/>
        </w:rPr>
        <w:t xml:space="preserve"> in accordance with Practice Note SC Gen 7</w:t>
      </w:r>
      <w:r w:rsidRPr="00E871D6">
        <w:rPr>
          <w:rFonts w:ascii="Book Antiqua" w:hAnsi="Book Antiqua"/>
          <w:sz w:val="24"/>
          <w:szCs w:val="24"/>
        </w:rPr>
        <w:t>.</w:t>
      </w:r>
      <w:r w:rsidR="00E81517">
        <w:rPr>
          <w:rFonts w:ascii="Book Antiqua" w:hAnsi="Book Antiqua"/>
          <w:sz w:val="24"/>
          <w:szCs w:val="24"/>
        </w:rPr>
        <w:t xml:space="preserve"> </w:t>
      </w:r>
      <w:r w:rsidRPr="00E871D6">
        <w:rPr>
          <w:rFonts w:ascii="Book Antiqua" w:hAnsi="Book Antiqua"/>
          <w:sz w:val="24"/>
          <w:szCs w:val="24"/>
        </w:rPr>
        <w:t xml:space="preserve"> That party shall deliver the purchase order to the preferred supplier.</w:t>
      </w:r>
    </w:p>
    <w:p w14:paraId="3BC87B3C" w14:textId="77777777" w:rsidR="00A6250F" w:rsidRPr="00A77607" w:rsidRDefault="00A6250F"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E871D6">
        <w:rPr>
          <w:rFonts w:ascii="Book Antiqua" w:hAnsi="Book Antiqua"/>
          <w:sz w:val="24"/>
          <w:szCs w:val="24"/>
        </w:rPr>
        <w:t>The solicitor, or the litigant if unrepresented, signing the purchase order shall pay the preferred supplier the cost of all transcript provided pursuant to a purchase order.</w:t>
      </w:r>
    </w:p>
    <w:p w14:paraId="1051A72C" w14:textId="77777777" w:rsidR="00A6250F" w:rsidRPr="005A7E3F" w:rsidRDefault="00A6250F" w:rsidP="00AC5DB9">
      <w:pPr>
        <w:autoSpaceDE w:val="0"/>
        <w:autoSpaceDN w:val="0"/>
        <w:adjustRightInd w:val="0"/>
        <w:spacing w:before="120" w:after="120"/>
        <w:jc w:val="both"/>
        <w:rPr>
          <w:rFonts w:ascii="Book Antiqua" w:hAnsi="Book Antiqua"/>
          <w:b/>
        </w:rPr>
      </w:pPr>
    </w:p>
    <w:p w14:paraId="19F9E467" w14:textId="53553EC5" w:rsidR="00182C1F" w:rsidRPr="005A7E3F" w:rsidRDefault="00B7688F" w:rsidP="00AC5DB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b/>
          <w:sz w:val="24"/>
          <w:szCs w:val="24"/>
        </w:rPr>
        <w:t>COURT ORDERS</w:t>
      </w:r>
    </w:p>
    <w:p w14:paraId="7C9FF45F" w14:textId="660F9645" w:rsidR="00B7688F" w:rsidRPr="005A7E3F" w:rsidRDefault="00E81517" w:rsidP="00AC5DB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w:t>
      </w:r>
      <w:r w:rsidR="00B7688F" w:rsidRPr="005A7E3F">
        <w:rPr>
          <w:rFonts w:ascii="Book Antiqua" w:hAnsi="Book Antiqua"/>
          <w:sz w:val="24"/>
          <w:szCs w:val="24"/>
        </w:rPr>
        <w:t xml:space="preserve">laintiff’s solicitors are encouraged to deliver proposed consent orders to all other parties in advance of all directions hearings. </w:t>
      </w:r>
      <w:r>
        <w:rPr>
          <w:rFonts w:ascii="Book Antiqua" w:hAnsi="Book Antiqua"/>
          <w:sz w:val="24"/>
          <w:szCs w:val="24"/>
        </w:rPr>
        <w:t xml:space="preserve"> </w:t>
      </w:r>
      <w:r w:rsidR="00B7688F" w:rsidRPr="005A7E3F">
        <w:rPr>
          <w:rFonts w:ascii="Book Antiqua" w:hAnsi="Book Antiqua"/>
          <w:sz w:val="24"/>
          <w:szCs w:val="24"/>
        </w:rPr>
        <w:t xml:space="preserve">The parties should email </w:t>
      </w:r>
      <w:r w:rsidR="00B7688F" w:rsidRPr="005A7E3F">
        <w:rPr>
          <w:rFonts w:ascii="Book Antiqua" w:hAnsi="Book Antiqua"/>
          <w:sz w:val="24"/>
          <w:szCs w:val="24"/>
        </w:rPr>
        <w:lastRenderedPageBreak/>
        <w:t xml:space="preserve">minutes of consent to the Associate, in both Word and signed PDF format, by 2.30pm on the day prior to the directions hearing. </w:t>
      </w:r>
    </w:p>
    <w:p w14:paraId="7987B70E" w14:textId="3F14FD83" w:rsidR="00B7688F" w:rsidRPr="005A7E3F" w:rsidRDefault="00B7688F"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Liberty to apply will be implied into all orders.</w:t>
      </w:r>
    </w:p>
    <w:p w14:paraId="52C5DA48" w14:textId="1F117E19" w:rsidR="00B7688F" w:rsidRPr="005A7E3F" w:rsidRDefault="00B7688F"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 xml:space="preserve">The Court will authenticate orders on the papers where appropriate. </w:t>
      </w:r>
      <w:r w:rsidR="00E81517">
        <w:rPr>
          <w:rFonts w:ascii="Book Antiqua" w:hAnsi="Book Antiqua"/>
          <w:sz w:val="24"/>
          <w:szCs w:val="24"/>
        </w:rPr>
        <w:t xml:space="preserve"> </w:t>
      </w:r>
      <w:r w:rsidRPr="005A7E3F">
        <w:rPr>
          <w:rFonts w:ascii="Book Antiqua" w:hAnsi="Book Antiqua"/>
          <w:sz w:val="24"/>
          <w:szCs w:val="24"/>
        </w:rPr>
        <w:t>However, notwithstanding that the parties may have submitted proposed consent orders, the Court may decide not to make the proposed orders and may require the attendance of practitioners at a hearing.</w:t>
      </w:r>
      <w:r w:rsidR="00E81517">
        <w:rPr>
          <w:rFonts w:ascii="Book Antiqua" w:hAnsi="Book Antiqua"/>
          <w:sz w:val="24"/>
          <w:szCs w:val="24"/>
        </w:rPr>
        <w:t xml:space="preserve"> </w:t>
      </w:r>
      <w:r w:rsidRPr="005A7E3F">
        <w:rPr>
          <w:rFonts w:ascii="Book Antiqua" w:hAnsi="Book Antiqua"/>
          <w:sz w:val="24"/>
          <w:szCs w:val="24"/>
        </w:rPr>
        <w:t xml:space="preserve"> Parties are required to appear at all scheduled directions hearings unless otherwise advised by the Associate.</w:t>
      </w:r>
    </w:p>
    <w:p w14:paraId="0B53EE33" w14:textId="11C8BDA0" w:rsidR="00B7688F" w:rsidRDefault="00B7688F"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Parties should notify the Associate as soon as it becomes apparent that there are difficulties in complying with orders, so that a further directions hearing can be scheduled.</w:t>
      </w:r>
    </w:p>
    <w:p w14:paraId="4CF3C0F7" w14:textId="77777777" w:rsidR="008368BD" w:rsidRPr="00E52DA7" w:rsidRDefault="008368BD" w:rsidP="00AC5DB9">
      <w:pPr>
        <w:autoSpaceDE w:val="0"/>
        <w:autoSpaceDN w:val="0"/>
        <w:adjustRightInd w:val="0"/>
        <w:spacing w:before="120" w:after="120"/>
        <w:jc w:val="both"/>
        <w:rPr>
          <w:rFonts w:ascii="Book Antiqua" w:hAnsi="Book Antiqua"/>
        </w:rPr>
      </w:pPr>
    </w:p>
    <w:p w14:paraId="276DC12E" w14:textId="77777777" w:rsidR="008368BD" w:rsidRPr="008F0538" w:rsidRDefault="008368BD" w:rsidP="00AC5DB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8F0538">
        <w:rPr>
          <w:rFonts w:ascii="Book Antiqua" w:hAnsi="Book Antiqua"/>
          <w:b/>
          <w:sz w:val="24"/>
          <w:szCs w:val="24"/>
        </w:rPr>
        <w:t>USE OF TECHNOLOGY</w:t>
      </w:r>
    </w:p>
    <w:p w14:paraId="3898CD2A" w14:textId="77777777" w:rsidR="008368BD" w:rsidRDefault="008368BD" w:rsidP="00AC5DB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“Guidelines for the Use of Technology” apply to proceedings in the List.</w:t>
      </w:r>
    </w:p>
    <w:p w14:paraId="59039AB9" w14:textId="77777777" w:rsidR="008368BD" w:rsidRPr="008F0538" w:rsidRDefault="008368BD" w:rsidP="00AC5DB9">
      <w:pPr>
        <w:pStyle w:val="ListParagraph"/>
        <w:numPr>
          <w:ilvl w:val="1"/>
          <w:numId w:val="2"/>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For the purposes of paragraph </w:t>
      </w:r>
      <w:r w:rsidRPr="005F52B1">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336C9066" w14:textId="77777777" w:rsidR="00182C1F" w:rsidRPr="005A7E3F" w:rsidRDefault="00182C1F" w:rsidP="00AC5DB9">
      <w:pPr>
        <w:autoSpaceDE w:val="0"/>
        <w:autoSpaceDN w:val="0"/>
        <w:adjustRightInd w:val="0"/>
        <w:spacing w:before="120" w:after="120"/>
        <w:jc w:val="both"/>
        <w:rPr>
          <w:rFonts w:ascii="Book Antiqua" w:hAnsi="Book Antiqua"/>
          <w:b/>
        </w:rPr>
      </w:pPr>
    </w:p>
    <w:p w14:paraId="3404EB84" w14:textId="0375B9E4" w:rsidR="002361DF" w:rsidRPr="005A7E3F" w:rsidRDefault="002361DF" w:rsidP="00AC5DB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b/>
          <w:sz w:val="24"/>
          <w:szCs w:val="24"/>
        </w:rPr>
        <w:t>COMMUNICATIONS WITH THE COURT</w:t>
      </w:r>
    </w:p>
    <w:p w14:paraId="66BB9B7E" w14:textId="7D1F5028" w:rsidR="002361DF" w:rsidRPr="005A7E3F" w:rsidRDefault="002361DF" w:rsidP="00AC5DB9">
      <w:pPr>
        <w:pStyle w:val="ListParagraph"/>
        <w:numPr>
          <w:ilvl w:val="1"/>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sz w:val="24"/>
          <w:szCs w:val="24"/>
        </w:rPr>
        <w:t>At all stages of the proceeding, communications with the Court should be by email with a copy to all other parties, and should be confined to uncontroversial matters.</w:t>
      </w:r>
      <w:r w:rsidR="003615E5" w:rsidRPr="005A7E3F">
        <w:rPr>
          <w:rFonts w:ascii="Book Antiqua" w:hAnsi="Book Antiqua"/>
          <w:sz w:val="24"/>
          <w:szCs w:val="24"/>
        </w:rPr>
        <w:t xml:space="preserve"> </w:t>
      </w:r>
      <w:r w:rsidR="00E81517">
        <w:rPr>
          <w:rFonts w:ascii="Book Antiqua" w:hAnsi="Book Antiqua"/>
          <w:sz w:val="24"/>
          <w:szCs w:val="24"/>
        </w:rPr>
        <w:t xml:space="preserve"> </w:t>
      </w:r>
      <w:r w:rsidR="003615E5" w:rsidRPr="005A7E3F">
        <w:rPr>
          <w:rFonts w:ascii="Book Antiqua" w:hAnsi="Book Antiqua"/>
          <w:sz w:val="24"/>
          <w:szCs w:val="24"/>
        </w:rPr>
        <w:t>Contact details for the Associate are on the Court website</w:t>
      </w:r>
      <w:r w:rsidR="00525B9D" w:rsidRPr="005A7E3F">
        <w:rPr>
          <w:rFonts w:ascii="Book Antiqua" w:hAnsi="Book Antiqua"/>
          <w:sz w:val="24"/>
          <w:szCs w:val="24"/>
        </w:rPr>
        <w:t>.</w:t>
      </w:r>
    </w:p>
    <w:p w14:paraId="78BDD0F2" w14:textId="77777777" w:rsidR="00525B9D" w:rsidRPr="005A7E3F" w:rsidRDefault="00525B9D" w:rsidP="00AC5DB9">
      <w:pPr>
        <w:pStyle w:val="ListParagraph"/>
        <w:numPr>
          <w:ilvl w:val="1"/>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sz w:val="24"/>
          <w:szCs w:val="24"/>
        </w:rPr>
        <w:t xml:space="preserve">Parties are reminded that pursuant to rule 27.03(11)(b) of the </w:t>
      </w:r>
      <w:r w:rsidRPr="005A7E3F">
        <w:rPr>
          <w:rFonts w:ascii="Book Antiqua" w:hAnsi="Book Antiqua"/>
          <w:i/>
          <w:sz w:val="24"/>
          <w:szCs w:val="24"/>
        </w:rPr>
        <w:t>Supreme Court (General Civil Procedure) Rules 2015</w:t>
      </w:r>
      <w:r w:rsidRPr="005A7E3F">
        <w:rPr>
          <w:rFonts w:ascii="Book Antiqua" w:hAnsi="Book Antiqua"/>
          <w:sz w:val="24"/>
          <w:szCs w:val="24"/>
        </w:rPr>
        <w:t>, all court documents must include the name and email address of an individual to whom reference can be made in respect of the proceeding.</w:t>
      </w:r>
    </w:p>
    <w:p w14:paraId="0AE23603" w14:textId="77777777" w:rsidR="00541F76" w:rsidRPr="005A7E3F" w:rsidRDefault="00541F76" w:rsidP="00AC5DB9">
      <w:pPr>
        <w:autoSpaceDE w:val="0"/>
        <w:autoSpaceDN w:val="0"/>
        <w:adjustRightInd w:val="0"/>
        <w:spacing w:before="120" w:after="120"/>
        <w:jc w:val="both"/>
        <w:rPr>
          <w:rFonts w:ascii="Book Antiqua" w:hAnsi="Book Antiqua"/>
          <w:b/>
        </w:rPr>
      </w:pPr>
    </w:p>
    <w:p w14:paraId="49981E10" w14:textId="77777777" w:rsidR="00541F76" w:rsidRPr="005A7E3F" w:rsidRDefault="00541F76" w:rsidP="00AC5DB9">
      <w:pPr>
        <w:pStyle w:val="ListParagraph"/>
        <w:keepNext/>
        <w:numPr>
          <w:ilvl w:val="0"/>
          <w:numId w:val="2"/>
        </w:numPr>
        <w:autoSpaceDE w:val="0"/>
        <w:autoSpaceDN w:val="0"/>
        <w:adjustRightInd w:val="0"/>
        <w:spacing w:before="120" w:after="120"/>
        <w:jc w:val="both"/>
        <w:rPr>
          <w:rFonts w:ascii="Book Antiqua" w:hAnsi="Book Antiqua"/>
          <w:b/>
          <w:sz w:val="24"/>
          <w:szCs w:val="24"/>
        </w:rPr>
      </w:pPr>
      <w:r w:rsidRPr="005A7E3F">
        <w:rPr>
          <w:rFonts w:ascii="Book Antiqua" w:hAnsi="Book Antiqua"/>
          <w:b/>
          <w:sz w:val="24"/>
          <w:szCs w:val="24"/>
        </w:rPr>
        <w:t>FURTHER INFORMATION</w:t>
      </w:r>
    </w:p>
    <w:p w14:paraId="6BC62A12" w14:textId="60201564" w:rsidR="00541F76" w:rsidRPr="005A7E3F" w:rsidRDefault="00541F76" w:rsidP="00AC5DB9">
      <w:pPr>
        <w:pStyle w:val="ListParagraph"/>
        <w:numPr>
          <w:ilvl w:val="1"/>
          <w:numId w:val="2"/>
        </w:numPr>
        <w:autoSpaceDE w:val="0"/>
        <w:autoSpaceDN w:val="0"/>
        <w:adjustRightInd w:val="0"/>
        <w:spacing w:before="120" w:after="120"/>
        <w:jc w:val="both"/>
        <w:rPr>
          <w:rFonts w:ascii="Book Antiqua" w:hAnsi="Book Antiqua"/>
          <w:sz w:val="24"/>
          <w:szCs w:val="24"/>
        </w:rPr>
      </w:pPr>
      <w:r w:rsidRPr="005A7E3F">
        <w:rPr>
          <w:rFonts w:ascii="Book Antiqua" w:hAnsi="Book Antiqua"/>
          <w:sz w:val="24"/>
          <w:szCs w:val="24"/>
        </w:rPr>
        <w:t>The Court’s website (</w:t>
      </w:r>
      <w:hyperlink r:id="rId15" w:history="1">
        <w:r w:rsidRPr="005A7E3F">
          <w:rPr>
            <w:rStyle w:val="Hyperlink"/>
            <w:rFonts w:ascii="Book Antiqua" w:hAnsi="Book Antiqua"/>
            <w:sz w:val="24"/>
            <w:szCs w:val="24"/>
          </w:rPr>
          <w:t>www.supremecourt.vic.gov.au</w:t>
        </w:r>
      </w:hyperlink>
      <w:r w:rsidRPr="005A7E3F">
        <w:rPr>
          <w:rFonts w:ascii="Book Antiqua" w:hAnsi="Book Antiqua"/>
          <w:sz w:val="24"/>
          <w:szCs w:val="24"/>
        </w:rPr>
        <w:t xml:space="preserve">) includes a </w:t>
      </w:r>
      <w:hyperlink r:id="rId16" w:history="1">
        <w:r w:rsidRPr="008368BD">
          <w:rPr>
            <w:rStyle w:val="Hyperlink"/>
            <w:rFonts w:ascii="Book Antiqua" w:hAnsi="Book Antiqua"/>
            <w:sz w:val="24"/>
            <w:szCs w:val="24"/>
          </w:rPr>
          <w:t>page dedicated to the List</w:t>
        </w:r>
      </w:hyperlink>
      <w:r w:rsidRPr="005A7E3F">
        <w:rPr>
          <w:rFonts w:ascii="Book Antiqua" w:hAnsi="Book Antiqua"/>
          <w:sz w:val="24"/>
          <w:szCs w:val="24"/>
        </w:rPr>
        <w:t xml:space="preserve"> with up to date information about the operation of the List </w:t>
      </w:r>
      <w:r w:rsidR="00161957">
        <w:rPr>
          <w:rFonts w:ascii="Book Antiqua" w:hAnsi="Book Antiqua"/>
          <w:sz w:val="24"/>
          <w:szCs w:val="24"/>
        </w:rPr>
        <w:t>including</w:t>
      </w:r>
      <w:r w:rsidRPr="005A7E3F">
        <w:rPr>
          <w:rFonts w:ascii="Book Antiqua" w:hAnsi="Book Antiqua"/>
          <w:sz w:val="24"/>
          <w:szCs w:val="24"/>
        </w:rPr>
        <w:t>:</w:t>
      </w:r>
    </w:p>
    <w:p w14:paraId="4D6CF43A" w14:textId="4320AF2B" w:rsidR="00161957" w:rsidRDefault="00161957" w:rsidP="00AC5DB9">
      <w:pPr>
        <w:pStyle w:val="ListParagraph"/>
        <w:numPr>
          <w:ilvl w:val="1"/>
          <w:numId w:val="3"/>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Judicial officers managing the List;</w:t>
      </w:r>
    </w:p>
    <w:p w14:paraId="2C48E1B6" w14:textId="77CB3369" w:rsidR="00541F76" w:rsidRPr="005A7E3F" w:rsidRDefault="00161957" w:rsidP="00AC5DB9">
      <w:pPr>
        <w:pStyle w:val="ListParagraph"/>
        <w:numPr>
          <w:ilvl w:val="1"/>
          <w:numId w:val="3"/>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 xml:space="preserve">Links to this </w:t>
      </w:r>
      <w:r w:rsidR="00541F76" w:rsidRPr="005A7E3F">
        <w:rPr>
          <w:rFonts w:ascii="Book Antiqua" w:hAnsi="Book Antiqua"/>
          <w:sz w:val="24"/>
          <w:szCs w:val="24"/>
        </w:rPr>
        <w:t xml:space="preserve">Practice Note in </w:t>
      </w:r>
      <w:r w:rsidR="008368BD">
        <w:rPr>
          <w:rFonts w:ascii="Book Antiqua" w:hAnsi="Book Antiqua"/>
          <w:sz w:val="24"/>
          <w:szCs w:val="24"/>
        </w:rPr>
        <w:t>Word</w:t>
      </w:r>
      <w:r w:rsidR="008368BD" w:rsidRPr="005A7E3F">
        <w:rPr>
          <w:rFonts w:ascii="Book Antiqua" w:hAnsi="Book Antiqua"/>
          <w:sz w:val="24"/>
          <w:szCs w:val="24"/>
        </w:rPr>
        <w:t xml:space="preserve"> </w:t>
      </w:r>
      <w:r w:rsidR="00541F76" w:rsidRPr="005A7E3F">
        <w:rPr>
          <w:rFonts w:ascii="Book Antiqua" w:hAnsi="Book Antiqua"/>
          <w:sz w:val="24"/>
          <w:szCs w:val="24"/>
        </w:rPr>
        <w:t xml:space="preserve">and </w:t>
      </w:r>
      <w:r w:rsidR="001E03FA">
        <w:rPr>
          <w:rFonts w:ascii="Book Antiqua" w:hAnsi="Book Antiqua"/>
          <w:sz w:val="24"/>
          <w:szCs w:val="24"/>
        </w:rPr>
        <w:t>PDF</w:t>
      </w:r>
      <w:r w:rsidR="001E03FA" w:rsidRPr="005A7E3F">
        <w:rPr>
          <w:rFonts w:ascii="Book Antiqua" w:hAnsi="Book Antiqua"/>
          <w:sz w:val="24"/>
          <w:szCs w:val="24"/>
        </w:rPr>
        <w:t xml:space="preserve"> </w:t>
      </w:r>
      <w:r w:rsidR="00541F76" w:rsidRPr="005A7E3F">
        <w:rPr>
          <w:rFonts w:ascii="Book Antiqua" w:hAnsi="Book Antiqua"/>
          <w:sz w:val="24"/>
          <w:szCs w:val="24"/>
        </w:rPr>
        <w:t>formats</w:t>
      </w:r>
      <w:r w:rsidR="00BF6492" w:rsidRPr="005A7E3F">
        <w:rPr>
          <w:rFonts w:ascii="Book Antiqua" w:hAnsi="Book Antiqua"/>
          <w:sz w:val="24"/>
          <w:szCs w:val="24"/>
        </w:rPr>
        <w:t>.</w:t>
      </w:r>
    </w:p>
    <w:p w14:paraId="0561F72D" w14:textId="77777777" w:rsidR="00DC24A7" w:rsidRPr="005A7E3F" w:rsidRDefault="00DC24A7" w:rsidP="00AC5DB9">
      <w:pPr>
        <w:spacing w:before="120" w:after="120"/>
        <w:ind w:left="720" w:hanging="720"/>
        <w:jc w:val="both"/>
        <w:rPr>
          <w:rFonts w:ascii="Book Antiqua" w:hAnsi="Book Antiqua"/>
        </w:rPr>
      </w:pPr>
    </w:p>
    <w:p w14:paraId="2A06942D" w14:textId="27F46ABE" w:rsidR="003817CD" w:rsidRPr="005A7E3F" w:rsidRDefault="00277B7B" w:rsidP="00AC5DB9">
      <w:pPr>
        <w:keepNext/>
        <w:autoSpaceDE w:val="0"/>
        <w:autoSpaceDN w:val="0"/>
        <w:adjustRightInd w:val="0"/>
        <w:spacing w:before="120" w:after="120"/>
        <w:ind w:left="720" w:hanging="720"/>
        <w:contextualSpacing/>
        <w:jc w:val="both"/>
        <w:rPr>
          <w:rFonts w:ascii="Book Antiqua" w:hAnsi="Book Antiqua"/>
          <w:b/>
        </w:rPr>
      </w:pPr>
      <w:r w:rsidRPr="005A7E3F">
        <w:rPr>
          <w:rFonts w:ascii="Book Antiqua" w:hAnsi="Book Antiqua"/>
          <w:b/>
        </w:rPr>
        <w:t>AMENDMENT HISTORY</w:t>
      </w:r>
    </w:p>
    <w:p w14:paraId="78D2DD2D" w14:textId="692894FD" w:rsidR="00AB3FFA" w:rsidRPr="005A7E3F" w:rsidRDefault="001C57E2" w:rsidP="00AC5DB9">
      <w:pPr>
        <w:spacing w:before="120" w:after="120"/>
        <w:jc w:val="both"/>
        <w:rPr>
          <w:rFonts w:ascii="Book Antiqua" w:hAnsi="Book Antiqua"/>
        </w:rPr>
      </w:pPr>
      <w:r>
        <w:rPr>
          <w:rFonts w:ascii="Book Antiqua" w:hAnsi="Book Antiqua"/>
        </w:rPr>
        <w:t>30</w:t>
      </w:r>
      <w:r w:rsidR="00277B7B" w:rsidRPr="005A7E3F">
        <w:rPr>
          <w:rFonts w:ascii="Book Antiqua" w:hAnsi="Book Antiqua"/>
        </w:rPr>
        <w:t xml:space="preserve"> </w:t>
      </w:r>
      <w:r w:rsidR="008368BD">
        <w:rPr>
          <w:rFonts w:ascii="Book Antiqua" w:hAnsi="Book Antiqua"/>
        </w:rPr>
        <w:t>January 2017</w:t>
      </w:r>
      <w:r w:rsidR="00277B7B" w:rsidRPr="005A7E3F">
        <w:rPr>
          <w:rFonts w:ascii="Book Antiqua" w:hAnsi="Book Antiqua"/>
        </w:rPr>
        <w:t>: Th</w:t>
      </w:r>
      <w:r>
        <w:rPr>
          <w:rFonts w:ascii="Book Antiqua" w:hAnsi="Book Antiqua"/>
        </w:rPr>
        <w:t>is Practice Note was issued on 30</w:t>
      </w:r>
      <w:r w:rsidR="00277B7B" w:rsidRPr="005A7E3F">
        <w:rPr>
          <w:rFonts w:ascii="Book Antiqua" w:hAnsi="Book Antiqua"/>
        </w:rPr>
        <w:t xml:space="preserve"> </w:t>
      </w:r>
      <w:r w:rsidR="008368BD">
        <w:rPr>
          <w:rFonts w:ascii="Book Antiqua" w:hAnsi="Book Antiqua"/>
        </w:rPr>
        <w:t xml:space="preserve">January 2017 </w:t>
      </w:r>
      <w:r w:rsidR="00277B7B" w:rsidRPr="005A7E3F">
        <w:rPr>
          <w:rFonts w:ascii="Book Antiqua" w:hAnsi="Book Antiqua"/>
        </w:rPr>
        <w:t>and replaced Practice Note</w:t>
      </w:r>
      <w:r w:rsidR="00D00C42" w:rsidRPr="005A7E3F">
        <w:rPr>
          <w:rFonts w:ascii="Book Antiqua" w:hAnsi="Book Antiqua"/>
        </w:rPr>
        <w:t xml:space="preserve"> No </w:t>
      </w:r>
      <w:r w:rsidR="00730BC6" w:rsidRPr="005A7E3F">
        <w:rPr>
          <w:rFonts w:ascii="Book Antiqua" w:hAnsi="Book Antiqua"/>
        </w:rPr>
        <w:t>5</w:t>
      </w:r>
      <w:r w:rsidR="00D00C42" w:rsidRPr="005A7E3F">
        <w:rPr>
          <w:rFonts w:ascii="Book Antiqua" w:hAnsi="Book Antiqua"/>
        </w:rPr>
        <w:t xml:space="preserve"> of 201</w:t>
      </w:r>
      <w:r w:rsidR="008D3626" w:rsidRPr="005A7E3F">
        <w:rPr>
          <w:rFonts w:ascii="Book Antiqua" w:hAnsi="Book Antiqua"/>
        </w:rPr>
        <w:t>5</w:t>
      </w:r>
      <w:r w:rsidR="003437EB" w:rsidRPr="005A7E3F">
        <w:rPr>
          <w:rFonts w:ascii="Book Antiqua" w:hAnsi="Book Antiqua"/>
        </w:rPr>
        <w:t xml:space="preserve"> and </w:t>
      </w:r>
      <w:r w:rsidR="003437EB" w:rsidRPr="005A7E3F">
        <w:rPr>
          <w:rFonts w:ascii="Book Antiqua" w:hAnsi="Book Antiqua"/>
          <w:i/>
        </w:rPr>
        <w:t>Notice to the Profession - Professional Liability Claims Against Taxation Professionals</w:t>
      </w:r>
      <w:r w:rsidR="008368BD">
        <w:rPr>
          <w:rFonts w:ascii="Book Antiqua" w:hAnsi="Book Antiqua"/>
        </w:rPr>
        <w:t xml:space="preserve"> issued on 29 June 2016</w:t>
      </w:r>
      <w:r w:rsidR="00D00C42" w:rsidRPr="005A7E3F">
        <w:rPr>
          <w:rFonts w:ascii="Book Antiqua" w:hAnsi="Book Antiqua"/>
        </w:rPr>
        <w:t>.</w:t>
      </w:r>
    </w:p>
    <w:p w14:paraId="4D79BB20" w14:textId="320CC491" w:rsidR="00AB3FFA" w:rsidRPr="005A7E3F" w:rsidRDefault="00DC4B95" w:rsidP="00AC5DB9">
      <w:pPr>
        <w:spacing w:before="120" w:after="120"/>
        <w:ind w:left="720" w:hanging="720"/>
        <w:jc w:val="right"/>
        <w:rPr>
          <w:rFonts w:ascii="Book Antiqua" w:hAnsi="Book Antiqua"/>
        </w:rPr>
      </w:pPr>
      <w:r>
        <w:rPr>
          <w:rFonts w:ascii="Book Antiqua" w:hAnsi="Book Antiqua"/>
        </w:rPr>
        <w:t>Vivienne Macgillivray</w:t>
      </w:r>
    </w:p>
    <w:p w14:paraId="520C8D0C" w14:textId="6FFB15D9" w:rsidR="00AB3FFA" w:rsidRPr="005A7E3F" w:rsidRDefault="00AB3FFA" w:rsidP="00AC5DB9">
      <w:pPr>
        <w:spacing w:before="120" w:after="120"/>
        <w:ind w:left="720" w:hanging="720"/>
        <w:jc w:val="right"/>
        <w:rPr>
          <w:rFonts w:ascii="Book Antiqua" w:hAnsi="Book Antiqua"/>
        </w:rPr>
      </w:pPr>
      <w:r w:rsidRPr="005A7E3F">
        <w:rPr>
          <w:rFonts w:ascii="Book Antiqua" w:hAnsi="Book Antiqua"/>
        </w:rPr>
        <w:t>Executive Associate to the Chief Justice</w:t>
      </w:r>
    </w:p>
    <w:p w14:paraId="0D122A8E" w14:textId="68D3A76B" w:rsidR="003639B5" w:rsidRPr="007917BE" w:rsidRDefault="001C57E2" w:rsidP="00AC5DB9">
      <w:pPr>
        <w:spacing w:before="120" w:after="120"/>
        <w:ind w:left="720" w:hanging="720"/>
        <w:jc w:val="right"/>
        <w:rPr>
          <w:rFonts w:ascii="Book Antiqua" w:hAnsi="Book Antiqua"/>
        </w:rPr>
      </w:pPr>
      <w:r>
        <w:rPr>
          <w:rFonts w:ascii="Book Antiqua" w:hAnsi="Book Antiqua"/>
        </w:rPr>
        <w:t>30</w:t>
      </w:r>
      <w:bookmarkStart w:id="0" w:name="_GoBack"/>
      <w:bookmarkEnd w:id="0"/>
      <w:r w:rsidR="00AC5DB9">
        <w:rPr>
          <w:rFonts w:ascii="Book Antiqua" w:hAnsi="Book Antiqua"/>
        </w:rPr>
        <w:t xml:space="preserve"> January 2017</w:t>
      </w:r>
    </w:p>
    <w:sectPr w:rsidR="003639B5" w:rsidRPr="007917BE" w:rsidSect="003817C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1DE7" w14:textId="77777777" w:rsidR="00C51CD1" w:rsidRDefault="00C51C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65F9596A" w:rsidR="002D6E79" w:rsidRDefault="002D6E79">
    <w:pPr>
      <w:pStyle w:val="Footer"/>
      <w:jc w:val="right"/>
    </w:pPr>
    <w:r>
      <w:fldChar w:fldCharType="begin"/>
    </w:r>
    <w:r>
      <w:instrText xml:space="preserve"> PAGE   \* MERGEFORMAT </w:instrText>
    </w:r>
    <w:r>
      <w:fldChar w:fldCharType="separate"/>
    </w:r>
    <w:r w:rsidR="001C57E2">
      <w:rPr>
        <w:noProof/>
      </w:rPr>
      <w:t>6</w:t>
    </w:r>
    <w:r>
      <w:rPr>
        <w:noProof/>
      </w:rPr>
      <w:fldChar w:fldCharType="end"/>
    </w:r>
  </w:p>
  <w:p w14:paraId="77F17E56" w14:textId="77777777" w:rsidR="002D6E79" w:rsidRDefault="002D6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63D78" w14:textId="77777777" w:rsidR="00C51CD1" w:rsidRDefault="00C5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8B512" w14:textId="77777777" w:rsidR="00C51CD1" w:rsidRDefault="00C51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DB59" w14:textId="5C5C73ED" w:rsidR="0014047E" w:rsidRDefault="00140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A9865" w14:textId="77777777" w:rsidR="00C51CD1" w:rsidRDefault="00C51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CC47B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92A2672"/>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49930C9"/>
    <w:multiLevelType w:val="multilevel"/>
    <w:tmpl w:val="912847B2"/>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4F2C48"/>
    <w:multiLevelType w:val="multilevel"/>
    <w:tmpl w:val="E1F2960A"/>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040765B"/>
    <w:multiLevelType w:val="multilevel"/>
    <w:tmpl w:val="B8A66056"/>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0B5014"/>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F973F57"/>
    <w:multiLevelType w:val="multilevel"/>
    <w:tmpl w:val="37145E98"/>
    <w:lvl w:ilvl="0">
      <w:start w:val="1"/>
      <w:numFmt w:val="lowerLetter"/>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4"/>
  </w:num>
  <w:num w:numId="4">
    <w:abstractNumId w:val="6"/>
  </w:num>
  <w:num w:numId="5">
    <w:abstractNumId w:val="9"/>
  </w:num>
  <w:num w:numId="6">
    <w:abstractNumId w:val="5"/>
  </w:num>
  <w:num w:numId="7">
    <w:abstractNumId w:val="3"/>
  </w:num>
  <w:num w:numId="8">
    <w:abstractNumId w:val="2"/>
  </w:num>
  <w:num w:numId="9">
    <w:abstractNumId w:val="1"/>
  </w:num>
  <w:num w:numId="10">
    <w:abstractNumId w:val="7"/>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15396"/>
    <w:rsid w:val="0003306E"/>
    <w:rsid w:val="00034D85"/>
    <w:rsid w:val="00035057"/>
    <w:rsid w:val="00036894"/>
    <w:rsid w:val="00037D26"/>
    <w:rsid w:val="00043448"/>
    <w:rsid w:val="00055F43"/>
    <w:rsid w:val="000566C3"/>
    <w:rsid w:val="00070CA2"/>
    <w:rsid w:val="00070D66"/>
    <w:rsid w:val="00071A96"/>
    <w:rsid w:val="00073139"/>
    <w:rsid w:val="00073769"/>
    <w:rsid w:val="00077863"/>
    <w:rsid w:val="00081A41"/>
    <w:rsid w:val="00085947"/>
    <w:rsid w:val="00095BA5"/>
    <w:rsid w:val="000973B7"/>
    <w:rsid w:val="000A1DE7"/>
    <w:rsid w:val="000A4F62"/>
    <w:rsid w:val="000A553C"/>
    <w:rsid w:val="000A6B76"/>
    <w:rsid w:val="000B2E54"/>
    <w:rsid w:val="000B5F50"/>
    <w:rsid w:val="000C0998"/>
    <w:rsid w:val="000C1777"/>
    <w:rsid w:val="000C2CE1"/>
    <w:rsid w:val="000C39A3"/>
    <w:rsid w:val="000C5F4B"/>
    <w:rsid w:val="000C75E1"/>
    <w:rsid w:val="000D07F1"/>
    <w:rsid w:val="000D0AC4"/>
    <w:rsid w:val="000D3250"/>
    <w:rsid w:val="000D3C69"/>
    <w:rsid w:val="000D5E28"/>
    <w:rsid w:val="000D7A64"/>
    <w:rsid w:val="000E12FA"/>
    <w:rsid w:val="000E524A"/>
    <w:rsid w:val="000F3B18"/>
    <w:rsid w:val="000F6EA7"/>
    <w:rsid w:val="00100006"/>
    <w:rsid w:val="00101EC5"/>
    <w:rsid w:val="001033CC"/>
    <w:rsid w:val="00121C72"/>
    <w:rsid w:val="00125C07"/>
    <w:rsid w:val="00133A51"/>
    <w:rsid w:val="001344BA"/>
    <w:rsid w:val="0014047E"/>
    <w:rsid w:val="00140683"/>
    <w:rsid w:val="00143136"/>
    <w:rsid w:val="00143818"/>
    <w:rsid w:val="00144DAA"/>
    <w:rsid w:val="00145C92"/>
    <w:rsid w:val="00145D28"/>
    <w:rsid w:val="0014603C"/>
    <w:rsid w:val="00146054"/>
    <w:rsid w:val="0015063E"/>
    <w:rsid w:val="00155327"/>
    <w:rsid w:val="00155A8E"/>
    <w:rsid w:val="0015650D"/>
    <w:rsid w:val="0016054E"/>
    <w:rsid w:val="00161957"/>
    <w:rsid w:val="00161B6C"/>
    <w:rsid w:val="00161CA2"/>
    <w:rsid w:val="00162996"/>
    <w:rsid w:val="001716EF"/>
    <w:rsid w:val="0018061B"/>
    <w:rsid w:val="00182C1F"/>
    <w:rsid w:val="00186E37"/>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4D1"/>
    <w:rsid w:val="001C2F4B"/>
    <w:rsid w:val="001C355D"/>
    <w:rsid w:val="001C57E2"/>
    <w:rsid w:val="001E0318"/>
    <w:rsid w:val="001E03FA"/>
    <w:rsid w:val="001E1418"/>
    <w:rsid w:val="001F71F4"/>
    <w:rsid w:val="00207367"/>
    <w:rsid w:val="00216DCF"/>
    <w:rsid w:val="00217758"/>
    <w:rsid w:val="00217E88"/>
    <w:rsid w:val="002218C5"/>
    <w:rsid w:val="00222544"/>
    <w:rsid w:val="00223382"/>
    <w:rsid w:val="0022666D"/>
    <w:rsid w:val="0023426A"/>
    <w:rsid w:val="00234B7B"/>
    <w:rsid w:val="002361DF"/>
    <w:rsid w:val="00241A4E"/>
    <w:rsid w:val="00245746"/>
    <w:rsid w:val="00247F50"/>
    <w:rsid w:val="002572C2"/>
    <w:rsid w:val="0026005D"/>
    <w:rsid w:val="00265BF9"/>
    <w:rsid w:val="00271B59"/>
    <w:rsid w:val="00275A5A"/>
    <w:rsid w:val="00277B7B"/>
    <w:rsid w:val="002812ED"/>
    <w:rsid w:val="0028130B"/>
    <w:rsid w:val="002818A4"/>
    <w:rsid w:val="00281E4F"/>
    <w:rsid w:val="002837A9"/>
    <w:rsid w:val="00283C48"/>
    <w:rsid w:val="00294341"/>
    <w:rsid w:val="002B43DF"/>
    <w:rsid w:val="002B465A"/>
    <w:rsid w:val="002C1134"/>
    <w:rsid w:val="002C56E8"/>
    <w:rsid w:val="002D0AB0"/>
    <w:rsid w:val="002D0FD3"/>
    <w:rsid w:val="002D23D8"/>
    <w:rsid w:val="002D6E79"/>
    <w:rsid w:val="002E0F6B"/>
    <w:rsid w:val="002E6B43"/>
    <w:rsid w:val="002E7FD2"/>
    <w:rsid w:val="002F4D7F"/>
    <w:rsid w:val="00300F4B"/>
    <w:rsid w:val="00302981"/>
    <w:rsid w:val="0030352D"/>
    <w:rsid w:val="00305761"/>
    <w:rsid w:val="00307B60"/>
    <w:rsid w:val="00310655"/>
    <w:rsid w:val="00310A32"/>
    <w:rsid w:val="00311051"/>
    <w:rsid w:val="0031222C"/>
    <w:rsid w:val="003166D1"/>
    <w:rsid w:val="00316FF2"/>
    <w:rsid w:val="00321C75"/>
    <w:rsid w:val="0032286C"/>
    <w:rsid w:val="00334DD3"/>
    <w:rsid w:val="00340257"/>
    <w:rsid w:val="0034260E"/>
    <w:rsid w:val="003437EB"/>
    <w:rsid w:val="00350055"/>
    <w:rsid w:val="003500B9"/>
    <w:rsid w:val="003508E0"/>
    <w:rsid w:val="00353E4C"/>
    <w:rsid w:val="00356593"/>
    <w:rsid w:val="00356969"/>
    <w:rsid w:val="00357A0D"/>
    <w:rsid w:val="003615E5"/>
    <w:rsid w:val="003639B5"/>
    <w:rsid w:val="00365D0E"/>
    <w:rsid w:val="00367AD0"/>
    <w:rsid w:val="00377999"/>
    <w:rsid w:val="003817CD"/>
    <w:rsid w:val="00381991"/>
    <w:rsid w:val="00381FDA"/>
    <w:rsid w:val="00386C9F"/>
    <w:rsid w:val="00387DB3"/>
    <w:rsid w:val="00391CA0"/>
    <w:rsid w:val="003945D8"/>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0B2E"/>
    <w:rsid w:val="0040410A"/>
    <w:rsid w:val="00404CB0"/>
    <w:rsid w:val="00414B77"/>
    <w:rsid w:val="0042138B"/>
    <w:rsid w:val="00434BEE"/>
    <w:rsid w:val="004361F0"/>
    <w:rsid w:val="00441431"/>
    <w:rsid w:val="004450A6"/>
    <w:rsid w:val="00447BE8"/>
    <w:rsid w:val="00451E61"/>
    <w:rsid w:val="00454495"/>
    <w:rsid w:val="00455D46"/>
    <w:rsid w:val="00461361"/>
    <w:rsid w:val="0046389D"/>
    <w:rsid w:val="00465282"/>
    <w:rsid w:val="00471414"/>
    <w:rsid w:val="00474F94"/>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0DD3"/>
    <w:rsid w:val="004D1112"/>
    <w:rsid w:val="004D2141"/>
    <w:rsid w:val="004E07C3"/>
    <w:rsid w:val="004E1038"/>
    <w:rsid w:val="004E1052"/>
    <w:rsid w:val="004E10CA"/>
    <w:rsid w:val="004E1CD7"/>
    <w:rsid w:val="004E284B"/>
    <w:rsid w:val="004F14A1"/>
    <w:rsid w:val="004F4CE9"/>
    <w:rsid w:val="004F61E8"/>
    <w:rsid w:val="004F7E81"/>
    <w:rsid w:val="0050429E"/>
    <w:rsid w:val="00506B52"/>
    <w:rsid w:val="00512025"/>
    <w:rsid w:val="005123B0"/>
    <w:rsid w:val="005158D2"/>
    <w:rsid w:val="005173D2"/>
    <w:rsid w:val="00525B9D"/>
    <w:rsid w:val="005278A1"/>
    <w:rsid w:val="00540E14"/>
    <w:rsid w:val="00541EAB"/>
    <w:rsid w:val="00541F76"/>
    <w:rsid w:val="00547600"/>
    <w:rsid w:val="00550871"/>
    <w:rsid w:val="005534A5"/>
    <w:rsid w:val="00553534"/>
    <w:rsid w:val="00554A65"/>
    <w:rsid w:val="0055503D"/>
    <w:rsid w:val="00561105"/>
    <w:rsid w:val="0056389E"/>
    <w:rsid w:val="00565153"/>
    <w:rsid w:val="00565B62"/>
    <w:rsid w:val="00571E15"/>
    <w:rsid w:val="005734DA"/>
    <w:rsid w:val="00575849"/>
    <w:rsid w:val="005771D5"/>
    <w:rsid w:val="005825BE"/>
    <w:rsid w:val="00582DAF"/>
    <w:rsid w:val="00593530"/>
    <w:rsid w:val="00594C2A"/>
    <w:rsid w:val="005A291A"/>
    <w:rsid w:val="005A386C"/>
    <w:rsid w:val="005A4134"/>
    <w:rsid w:val="005A59BA"/>
    <w:rsid w:val="005A68BF"/>
    <w:rsid w:val="005A6984"/>
    <w:rsid w:val="005A7E3F"/>
    <w:rsid w:val="005B3FF4"/>
    <w:rsid w:val="005B499F"/>
    <w:rsid w:val="005B5CFE"/>
    <w:rsid w:val="005B7E00"/>
    <w:rsid w:val="005C542A"/>
    <w:rsid w:val="005C7F57"/>
    <w:rsid w:val="005D3383"/>
    <w:rsid w:val="005E04B4"/>
    <w:rsid w:val="005E3BB5"/>
    <w:rsid w:val="005E5273"/>
    <w:rsid w:val="005E704A"/>
    <w:rsid w:val="005F02B1"/>
    <w:rsid w:val="005F067C"/>
    <w:rsid w:val="005F52B1"/>
    <w:rsid w:val="00606FC8"/>
    <w:rsid w:val="00607B05"/>
    <w:rsid w:val="006124C3"/>
    <w:rsid w:val="006135A6"/>
    <w:rsid w:val="00613FA8"/>
    <w:rsid w:val="00620D68"/>
    <w:rsid w:val="00625C50"/>
    <w:rsid w:val="0062755D"/>
    <w:rsid w:val="00634832"/>
    <w:rsid w:val="00635413"/>
    <w:rsid w:val="00636D64"/>
    <w:rsid w:val="00637201"/>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CCD"/>
    <w:rsid w:val="006A5DA3"/>
    <w:rsid w:val="006A74CE"/>
    <w:rsid w:val="006B6D97"/>
    <w:rsid w:val="006C550C"/>
    <w:rsid w:val="006C55DA"/>
    <w:rsid w:val="006C71CD"/>
    <w:rsid w:val="006D0F84"/>
    <w:rsid w:val="006E6E2F"/>
    <w:rsid w:val="006E7E0B"/>
    <w:rsid w:val="006F0255"/>
    <w:rsid w:val="006F0430"/>
    <w:rsid w:val="006F3E76"/>
    <w:rsid w:val="006F3FAF"/>
    <w:rsid w:val="006F5F1C"/>
    <w:rsid w:val="006F60CF"/>
    <w:rsid w:val="006F6748"/>
    <w:rsid w:val="00702F63"/>
    <w:rsid w:val="00704897"/>
    <w:rsid w:val="007068FC"/>
    <w:rsid w:val="007107C6"/>
    <w:rsid w:val="007109D8"/>
    <w:rsid w:val="00715F27"/>
    <w:rsid w:val="0071797E"/>
    <w:rsid w:val="00720BE1"/>
    <w:rsid w:val="00722648"/>
    <w:rsid w:val="00730BC6"/>
    <w:rsid w:val="00733A34"/>
    <w:rsid w:val="00737442"/>
    <w:rsid w:val="00741D9B"/>
    <w:rsid w:val="007453B3"/>
    <w:rsid w:val="00746CB2"/>
    <w:rsid w:val="0074724C"/>
    <w:rsid w:val="007513AE"/>
    <w:rsid w:val="0075230A"/>
    <w:rsid w:val="00752628"/>
    <w:rsid w:val="00755325"/>
    <w:rsid w:val="00756FE4"/>
    <w:rsid w:val="007602AF"/>
    <w:rsid w:val="007656EA"/>
    <w:rsid w:val="00767B98"/>
    <w:rsid w:val="00767E01"/>
    <w:rsid w:val="00771C95"/>
    <w:rsid w:val="00775612"/>
    <w:rsid w:val="00777F6B"/>
    <w:rsid w:val="00780A47"/>
    <w:rsid w:val="00780F23"/>
    <w:rsid w:val="00784717"/>
    <w:rsid w:val="007917BE"/>
    <w:rsid w:val="007931D1"/>
    <w:rsid w:val="007951CA"/>
    <w:rsid w:val="00796E2E"/>
    <w:rsid w:val="007A0780"/>
    <w:rsid w:val="007A1449"/>
    <w:rsid w:val="007A1D8C"/>
    <w:rsid w:val="007B1869"/>
    <w:rsid w:val="007B3902"/>
    <w:rsid w:val="007C0A8F"/>
    <w:rsid w:val="007C6118"/>
    <w:rsid w:val="007C66C1"/>
    <w:rsid w:val="007D0506"/>
    <w:rsid w:val="007D1D95"/>
    <w:rsid w:val="007D42ED"/>
    <w:rsid w:val="007E24CA"/>
    <w:rsid w:val="007E2608"/>
    <w:rsid w:val="007E5564"/>
    <w:rsid w:val="007F1253"/>
    <w:rsid w:val="007F3710"/>
    <w:rsid w:val="007F7938"/>
    <w:rsid w:val="007F7C28"/>
    <w:rsid w:val="007F7F97"/>
    <w:rsid w:val="00802FC4"/>
    <w:rsid w:val="00804B57"/>
    <w:rsid w:val="00807D47"/>
    <w:rsid w:val="008119D2"/>
    <w:rsid w:val="008127B0"/>
    <w:rsid w:val="00823AB4"/>
    <w:rsid w:val="0082465E"/>
    <w:rsid w:val="0082476F"/>
    <w:rsid w:val="00831D0F"/>
    <w:rsid w:val="00834079"/>
    <w:rsid w:val="00835C7C"/>
    <w:rsid w:val="00836099"/>
    <w:rsid w:val="008368BD"/>
    <w:rsid w:val="008429C5"/>
    <w:rsid w:val="008434C3"/>
    <w:rsid w:val="00843503"/>
    <w:rsid w:val="008445D3"/>
    <w:rsid w:val="00845023"/>
    <w:rsid w:val="00850A46"/>
    <w:rsid w:val="00850F93"/>
    <w:rsid w:val="008515EE"/>
    <w:rsid w:val="00854FD4"/>
    <w:rsid w:val="0086055D"/>
    <w:rsid w:val="00872BAD"/>
    <w:rsid w:val="00880069"/>
    <w:rsid w:val="0088136E"/>
    <w:rsid w:val="008846D6"/>
    <w:rsid w:val="00892D21"/>
    <w:rsid w:val="00892FF7"/>
    <w:rsid w:val="008942F1"/>
    <w:rsid w:val="008A4768"/>
    <w:rsid w:val="008A636D"/>
    <w:rsid w:val="008B0EC2"/>
    <w:rsid w:val="008B1575"/>
    <w:rsid w:val="008B3490"/>
    <w:rsid w:val="008B47EA"/>
    <w:rsid w:val="008C027C"/>
    <w:rsid w:val="008C41FA"/>
    <w:rsid w:val="008D3626"/>
    <w:rsid w:val="008D6EBF"/>
    <w:rsid w:val="008E2F41"/>
    <w:rsid w:val="0091164B"/>
    <w:rsid w:val="00916516"/>
    <w:rsid w:val="0092369B"/>
    <w:rsid w:val="009251C5"/>
    <w:rsid w:val="009345B6"/>
    <w:rsid w:val="00934959"/>
    <w:rsid w:val="00940734"/>
    <w:rsid w:val="00940F44"/>
    <w:rsid w:val="00941002"/>
    <w:rsid w:val="00942E64"/>
    <w:rsid w:val="00947689"/>
    <w:rsid w:val="0095180B"/>
    <w:rsid w:val="0095377B"/>
    <w:rsid w:val="00955CBF"/>
    <w:rsid w:val="00956D8D"/>
    <w:rsid w:val="00956EC0"/>
    <w:rsid w:val="009579B5"/>
    <w:rsid w:val="0096128D"/>
    <w:rsid w:val="00963A32"/>
    <w:rsid w:val="00970632"/>
    <w:rsid w:val="00971150"/>
    <w:rsid w:val="00975561"/>
    <w:rsid w:val="0098076E"/>
    <w:rsid w:val="009809E5"/>
    <w:rsid w:val="00984A84"/>
    <w:rsid w:val="00984EF6"/>
    <w:rsid w:val="00987FD8"/>
    <w:rsid w:val="00990B3C"/>
    <w:rsid w:val="00993D8D"/>
    <w:rsid w:val="009956C6"/>
    <w:rsid w:val="00996F81"/>
    <w:rsid w:val="009A16DD"/>
    <w:rsid w:val="009A45B0"/>
    <w:rsid w:val="009B1B66"/>
    <w:rsid w:val="009B22CA"/>
    <w:rsid w:val="009B3159"/>
    <w:rsid w:val="009B7708"/>
    <w:rsid w:val="009C3906"/>
    <w:rsid w:val="009C393F"/>
    <w:rsid w:val="009C6B44"/>
    <w:rsid w:val="009D1753"/>
    <w:rsid w:val="009E4C0D"/>
    <w:rsid w:val="009E5E09"/>
    <w:rsid w:val="009E714C"/>
    <w:rsid w:val="009F27F0"/>
    <w:rsid w:val="009F587A"/>
    <w:rsid w:val="009F7728"/>
    <w:rsid w:val="009F7C7A"/>
    <w:rsid w:val="00A02D5F"/>
    <w:rsid w:val="00A03CC1"/>
    <w:rsid w:val="00A04BF1"/>
    <w:rsid w:val="00A13D3C"/>
    <w:rsid w:val="00A16095"/>
    <w:rsid w:val="00A1734D"/>
    <w:rsid w:val="00A222B3"/>
    <w:rsid w:val="00A336A2"/>
    <w:rsid w:val="00A50A22"/>
    <w:rsid w:val="00A6250F"/>
    <w:rsid w:val="00A64EE1"/>
    <w:rsid w:val="00A67FC3"/>
    <w:rsid w:val="00A715A8"/>
    <w:rsid w:val="00A716FA"/>
    <w:rsid w:val="00A7773B"/>
    <w:rsid w:val="00A7779A"/>
    <w:rsid w:val="00A86757"/>
    <w:rsid w:val="00A9278B"/>
    <w:rsid w:val="00A937DF"/>
    <w:rsid w:val="00AA0705"/>
    <w:rsid w:val="00AA1164"/>
    <w:rsid w:val="00AA1568"/>
    <w:rsid w:val="00AA1BA4"/>
    <w:rsid w:val="00AA5A1E"/>
    <w:rsid w:val="00AB0464"/>
    <w:rsid w:val="00AB3FFA"/>
    <w:rsid w:val="00AB61BD"/>
    <w:rsid w:val="00AB6B2D"/>
    <w:rsid w:val="00AB6B88"/>
    <w:rsid w:val="00AC2F4D"/>
    <w:rsid w:val="00AC5DB9"/>
    <w:rsid w:val="00AD32C4"/>
    <w:rsid w:val="00AD6C5C"/>
    <w:rsid w:val="00AE3228"/>
    <w:rsid w:val="00AE3CE5"/>
    <w:rsid w:val="00AE5B1A"/>
    <w:rsid w:val="00AF29CC"/>
    <w:rsid w:val="00AF541C"/>
    <w:rsid w:val="00AF72F1"/>
    <w:rsid w:val="00AF7BEA"/>
    <w:rsid w:val="00B0217A"/>
    <w:rsid w:val="00B03FB3"/>
    <w:rsid w:val="00B120B9"/>
    <w:rsid w:val="00B14A18"/>
    <w:rsid w:val="00B210B9"/>
    <w:rsid w:val="00B2159B"/>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7688F"/>
    <w:rsid w:val="00B84551"/>
    <w:rsid w:val="00B86CFD"/>
    <w:rsid w:val="00B86E13"/>
    <w:rsid w:val="00B91665"/>
    <w:rsid w:val="00B92511"/>
    <w:rsid w:val="00B97019"/>
    <w:rsid w:val="00BA467D"/>
    <w:rsid w:val="00BA4AA3"/>
    <w:rsid w:val="00BA536E"/>
    <w:rsid w:val="00BB025F"/>
    <w:rsid w:val="00BB1CFE"/>
    <w:rsid w:val="00BB3539"/>
    <w:rsid w:val="00BB44DE"/>
    <w:rsid w:val="00BB6A06"/>
    <w:rsid w:val="00BC00FB"/>
    <w:rsid w:val="00BC63FD"/>
    <w:rsid w:val="00BC7826"/>
    <w:rsid w:val="00BD0D77"/>
    <w:rsid w:val="00BD3814"/>
    <w:rsid w:val="00BD4E3C"/>
    <w:rsid w:val="00BD53FE"/>
    <w:rsid w:val="00BE1071"/>
    <w:rsid w:val="00BE2836"/>
    <w:rsid w:val="00BE5BB7"/>
    <w:rsid w:val="00BE5E45"/>
    <w:rsid w:val="00BE6133"/>
    <w:rsid w:val="00BF054A"/>
    <w:rsid w:val="00BF2411"/>
    <w:rsid w:val="00BF5F87"/>
    <w:rsid w:val="00BF6492"/>
    <w:rsid w:val="00BF6922"/>
    <w:rsid w:val="00BF764E"/>
    <w:rsid w:val="00BF7EB5"/>
    <w:rsid w:val="00C02583"/>
    <w:rsid w:val="00C02EEF"/>
    <w:rsid w:val="00C02F5C"/>
    <w:rsid w:val="00C03C6C"/>
    <w:rsid w:val="00C10391"/>
    <w:rsid w:val="00C11C91"/>
    <w:rsid w:val="00C16227"/>
    <w:rsid w:val="00C16789"/>
    <w:rsid w:val="00C25E34"/>
    <w:rsid w:val="00C27E6B"/>
    <w:rsid w:val="00C310B9"/>
    <w:rsid w:val="00C342D5"/>
    <w:rsid w:val="00C401CD"/>
    <w:rsid w:val="00C4035A"/>
    <w:rsid w:val="00C41045"/>
    <w:rsid w:val="00C41952"/>
    <w:rsid w:val="00C42B04"/>
    <w:rsid w:val="00C5118C"/>
    <w:rsid w:val="00C51CD1"/>
    <w:rsid w:val="00C53183"/>
    <w:rsid w:val="00C55128"/>
    <w:rsid w:val="00C56DF5"/>
    <w:rsid w:val="00C570CC"/>
    <w:rsid w:val="00C60BB4"/>
    <w:rsid w:val="00C65F24"/>
    <w:rsid w:val="00C719FC"/>
    <w:rsid w:val="00C92881"/>
    <w:rsid w:val="00C95730"/>
    <w:rsid w:val="00C96FB5"/>
    <w:rsid w:val="00C979D7"/>
    <w:rsid w:val="00CB2437"/>
    <w:rsid w:val="00CB2EDD"/>
    <w:rsid w:val="00CC2810"/>
    <w:rsid w:val="00CC6705"/>
    <w:rsid w:val="00CD0331"/>
    <w:rsid w:val="00CD4B75"/>
    <w:rsid w:val="00CD50DA"/>
    <w:rsid w:val="00CD791D"/>
    <w:rsid w:val="00CE0037"/>
    <w:rsid w:val="00CE4442"/>
    <w:rsid w:val="00CE46FB"/>
    <w:rsid w:val="00CE520C"/>
    <w:rsid w:val="00CF07B3"/>
    <w:rsid w:val="00CF18F8"/>
    <w:rsid w:val="00CF3637"/>
    <w:rsid w:val="00CF4BEC"/>
    <w:rsid w:val="00CF5F3A"/>
    <w:rsid w:val="00CF6054"/>
    <w:rsid w:val="00CF6947"/>
    <w:rsid w:val="00D005FF"/>
    <w:rsid w:val="00D00948"/>
    <w:rsid w:val="00D00C1F"/>
    <w:rsid w:val="00D00C42"/>
    <w:rsid w:val="00D16016"/>
    <w:rsid w:val="00D1679C"/>
    <w:rsid w:val="00D218A6"/>
    <w:rsid w:val="00D23722"/>
    <w:rsid w:val="00D23C64"/>
    <w:rsid w:val="00D244E3"/>
    <w:rsid w:val="00D25933"/>
    <w:rsid w:val="00D26B29"/>
    <w:rsid w:val="00D3340C"/>
    <w:rsid w:val="00D37B73"/>
    <w:rsid w:val="00D44645"/>
    <w:rsid w:val="00D54B74"/>
    <w:rsid w:val="00D62946"/>
    <w:rsid w:val="00D62C14"/>
    <w:rsid w:val="00D636CD"/>
    <w:rsid w:val="00D66FF2"/>
    <w:rsid w:val="00D70950"/>
    <w:rsid w:val="00D71E39"/>
    <w:rsid w:val="00D77286"/>
    <w:rsid w:val="00D77D53"/>
    <w:rsid w:val="00D809E3"/>
    <w:rsid w:val="00D80FEA"/>
    <w:rsid w:val="00D85336"/>
    <w:rsid w:val="00D86A6A"/>
    <w:rsid w:val="00D961E3"/>
    <w:rsid w:val="00D97628"/>
    <w:rsid w:val="00DA0491"/>
    <w:rsid w:val="00DA1E21"/>
    <w:rsid w:val="00DA284A"/>
    <w:rsid w:val="00DA56E9"/>
    <w:rsid w:val="00DB304D"/>
    <w:rsid w:val="00DB6F51"/>
    <w:rsid w:val="00DB7EBE"/>
    <w:rsid w:val="00DC0370"/>
    <w:rsid w:val="00DC0ABE"/>
    <w:rsid w:val="00DC1D8A"/>
    <w:rsid w:val="00DC24A7"/>
    <w:rsid w:val="00DC3601"/>
    <w:rsid w:val="00DC4B95"/>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4463F"/>
    <w:rsid w:val="00E52DA7"/>
    <w:rsid w:val="00E52E8C"/>
    <w:rsid w:val="00E54AD4"/>
    <w:rsid w:val="00E61AA5"/>
    <w:rsid w:val="00E62BC4"/>
    <w:rsid w:val="00E66EDC"/>
    <w:rsid w:val="00E74D52"/>
    <w:rsid w:val="00E81517"/>
    <w:rsid w:val="00E90334"/>
    <w:rsid w:val="00EA0DB8"/>
    <w:rsid w:val="00EA141C"/>
    <w:rsid w:val="00EA2EB9"/>
    <w:rsid w:val="00EA6CDF"/>
    <w:rsid w:val="00EB4C25"/>
    <w:rsid w:val="00EC0977"/>
    <w:rsid w:val="00EC4A6A"/>
    <w:rsid w:val="00EC6B3A"/>
    <w:rsid w:val="00ED25C1"/>
    <w:rsid w:val="00ED61FE"/>
    <w:rsid w:val="00EE6009"/>
    <w:rsid w:val="00EE72C0"/>
    <w:rsid w:val="00EF154D"/>
    <w:rsid w:val="00EF1683"/>
    <w:rsid w:val="00EF2F58"/>
    <w:rsid w:val="00EF5C7D"/>
    <w:rsid w:val="00F0009F"/>
    <w:rsid w:val="00F02AA0"/>
    <w:rsid w:val="00F0621A"/>
    <w:rsid w:val="00F07C59"/>
    <w:rsid w:val="00F24E6E"/>
    <w:rsid w:val="00F25EF5"/>
    <w:rsid w:val="00F33797"/>
    <w:rsid w:val="00F43EC5"/>
    <w:rsid w:val="00F521A3"/>
    <w:rsid w:val="00F52A10"/>
    <w:rsid w:val="00F630C6"/>
    <w:rsid w:val="00F66463"/>
    <w:rsid w:val="00F67325"/>
    <w:rsid w:val="00F80F7B"/>
    <w:rsid w:val="00F85CC5"/>
    <w:rsid w:val="00F91689"/>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1"/>
      </w:numPr>
      <w:spacing w:before="240" w:after="60"/>
      <w:outlineLvl w:val="0"/>
    </w:pPr>
    <w:rPr>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Num3">
    <w:name w:val="Num 3"/>
    <w:rsid w:val="00162996"/>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 w:type="character" w:styleId="FollowedHyperlink">
    <w:name w:val="FollowedHyperlink"/>
    <w:basedOn w:val="DefaultParagraphFont"/>
    <w:semiHidden/>
    <w:unhideWhenUsed/>
    <w:rsid w:val="00C11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premecourt.vic.gov.au/home/law+and+practice/specialist+areas+of+law/professional+liabil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upremecourt.vic.gov.a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premecourt.vic.gov.au/home/law+and+practice/specialist+areas+of+law/professional+liabilit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d35400e-913e-4289-a6bb-c9c808f4167f"/>
    <ds:schemaRef ds:uri="http://www.w3.org/XML/1998/namespace"/>
  </ds:schemaRefs>
</ds:datastoreItem>
</file>

<file path=customXml/itemProps2.xml><?xml version="1.0" encoding="utf-8"?>
<ds:datastoreItem xmlns:ds="http://schemas.openxmlformats.org/officeDocument/2006/customXml" ds:itemID="{93CA21B9-FB58-4A07-89CC-031346FFB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5.xml><?xml version="1.0" encoding="utf-8"?>
<ds:datastoreItem xmlns:ds="http://schemas.openxmlformats.org/officeDocument/2006/customXml" ds:itemID="{8B979A9C-FE79-4D28-9709-4C3C81267317}">
  <ds:schemaRefs>
    <ds:schemaRef ds:uri="http://schemas.openxmlformats.org/officeDocument/2006/bibliography"/>
  </ds:schemaRefs>
</ds:datastoreItem>
</file>

<file path=customXml/itemProps6.xml><?xml version="1.0" encoding="utf-8"?>
<ds:datastoreItem xmlns:ds="http://schemas.openxmlformats.org/officeDocument/2006/customXml" ds:itemID="{2C204B1C-3E5A-41DB-848F-C7C390FD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Practice Note SC CL 5 Professional Liability List</vt:lpstr>
    </vt:vector>
  </TitlesOfParts>
  <Company>Supreme Court of Victoria</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5 Professional Liability List</dc:title>
  <dc:subject/>
  <dc:creator>Supreme Court of Victoria</dc:creator>
  <cp:keywords/>
  <dc:description/>
  <cp:lastModifiedBy>Viv Macgillivray</cp:lastModifiedBy>
  <cp:revision>9</cp:revision>
  <cp:lastPrinted>2016-04-22T04:31:00Z</cp:lastPrinted>
  <dcterms:created xsi:type="dcterms:W3CDTF">2016-10-28T00:59:00Z</dcterms:created>
  <dcterms:modified xsi:type="dcterms:W3CDTF">2016-11-28T05:20:00Z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