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D25" w:rsidRPr="007D49F6" w:rsidRDefault="00270D25" w:rsidP="00270D25">
      <w:pPr>
        <w:spacing w:after="0"/>
        <w:jc w:val="center"/>
        <w:rPr>
          <w:rFonts w:ascii="Times New Roman" w:hAnsi="Times New Roman" w:cs="Times New Roman"/>
          <w:b/>
          <w:sz w:val="26"/>
          <w:szCs w:val="26"/>
        </w:rPr>
      </w:pPr>
      <w:r w:rsidRPr="007D49F6">
        <w:rPr>
          <w:rFonts w:ascii="Times New Roman" w:hAnsi="Times New Roman" w:cs="Times New Roman"/>
          <w:noProof/>
          <w:lang w:eastAsia="en-AU"/>
        </w:rPr>
        <w:drawing>
          <wp:inline distT="0" distB="0" distL="0" distR="0" wp14:anchorId="5C171350" wp14:editId="5C171351">
            <wp:extent cx="1123950" cy="1123950"/>
            <wp:effectExtent l="0" t="0" r="0" b="0"/>
            <wp:docPr id="1" name="Picture 1" descr="http://confluence-scv/download/attachments/1082116/SCV_RGB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fluence-scv/download/attachments/1082116/SCV_RGB_B.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p w:rsidR="00270D25" w:rsidRPr="007D49F6" w:rsidRDefault="00EE434D" w:rsidP="00270D25">
      <w:pPr>
        <w:spacing w:after="0"/>
        <w:jc w:val="center"/>
        <w:rPr>
          <w:rFonts w:ascii="Times New Roman" w:hAnsi="Times New Roman" w:cs="Times New Roman"/>
          <w:b/>
          <w:sz w:val="36"/>
          <w:szCs w:val="36"/>
        </w:rPr>
      </w:pPr>
      <w:r>
        <w:rPr>
          <w:rFonts w:ascii="Times New Roman" w:hAnsi="Times New Roman" w:cs="Times New Roman"/>
          <w:b/>
          <w:sz w:val="36"/>
          <w:szCs w:val="36"/>
        </w:rPr>
        <w:t>Notice to the Profession</w:t>
      </w:r>
    </w:p>
    <w:p w:rsidR="00F4110D" w:rsidRDefault="00F4110D" w:rsidP="00270D25">
      <w:pPr>
        <w:spacing w:after="0"/>
        <w:jc w:val="center"/>
        <w:rPr>
          <w:rFonts w:ascii="Times New Roman" w:hAnsi="Times New Roman" w:cs="Times New Roman"/>
          <w:b/>
          <w:sz w:val="28"/>
          <w:szCs w:val="28"/>
        </w:rPr>
      </w:pPr>
    </w:p>
    <w:p w:rsidR="00270D25" w:rsidRPr="00EE434D" w:rsidRDefault="006F24E7" w:rsidP="00270D25">
      <w:pPr>
        <w:spacing w:after="0"/>
        <w:jc w:val="center"/>
        <w:rPr>
          <w:rFonts w:ascii="Times New Roman" w:hAnsi="Times New Roman" w:cs="Times New Roman"/>
          <w:b/>
          <w:sz w:val="28"/>
          <w:szCs w:val="28"/>
        </w:rPr>
      </w:pPr>
      <w:r>
        <w:rPr>
          <w:rFonts w:ascii="Times New Roman" w:hAnsi="Times New Roman" w:cs="Times New Roman"/>
          <w:b/>
          <w:sz w:val="28"/>
          <w:szCs w:val="28"/>
        </w:rPr>
        <w:t>Management of matters in the Judicial Review and Appeals List</w:t>
      </w:r>
    </w:p>
    <w:p w:rsidR="00D63CD6" w:rsidRDefault="00D63CD6" w:rsidP="00881ED0">
      <w:pPr>
        <w:spacing w:after="0"/>
        <w:jc w:val="both"/>
        <w:rPr>
          <w:rFonts w:ascii="Times New Roman" w:hAnsi="Times New Roman" w:cs="Times New Roman"/>
          <w:sz w:val="28"/>
          <w:szCs w:val="28"/>
        </w:rPr>
      </w:pPr>
    </w:p>
    <w:p w:rsidR="00F40C2E" w:rsidRPr="004E57F5" w:rsidRDefault="00F40C2E" w:rsidP="004E57F5">
      <w:pPr>
        <w:pStyle w:val="ListParagraph"/>
        <w:numPr>
          <w:ilvl w:val="0"/>
          <w:numId w:val="11"/>
        </w:numPr>
        <w:tabs>
          <w:tab w:val="left" w:pos="1440"/>
        </w:tabs>
        <w:spacing w:after="0"/>
        <w:jc w:val="both"/>
        <w:rPr>
          <w:rFonts w:ascii="Times New Roman" w:hAnsi="Times New Roman" w:cs="Times New Roman"/>
          <w:b/>
          <w:sz w:val="24"/>
          <w:szCs w:val="24"/>
        </w:rPr>
      </w:pPr>
      <w:r w:rsidRPr="004E57F5">
        <w:rPr>
          <w:rFonts w:ascii="Times New Roman" w:hAnsi="Times New Roman" w:cs="Times New Roman"/>
          <w:b/>
          <w:sz w:val="24"/>
          <w:szCs w:val="24"/>
        </w:rPr>
        <w:t>Enhanced case management</w:t>
      </w:r>
    </w:p>
    <w:p w:rsidR="00F40C2E" w:rsidRDefault="00F40C2E" w:rsidP="00F40C2E">
      <w:pPr>
        <w:tabs>
          <w:tab w:val="left" w:pos="1440"/>
        </w:tabs>
        <w:spacing w:after="0"/>
        <w:jc w:val="both"/>
        <w:rPr>
          <w:rFonts w:ascii="Times New Roman" w:hAnsi="Times New Roman" w:cs="Times New Roman"/>
          <w:sz w:val="24"/>
          <w:szCs w:val="24"/>
        </w:rPr>
      </w:pPr>
    </w:p>
    <w:p w:rsidR="006F24E7" w:rsidRPr="006F24E7" w:rsidRDefault="006F24E7" w:rsidP="006F24E7">
      <w:pPr>
        <w:tabs>
          <w:tab w:val="left" w:pos="1440"/>
        </w:tabs>
        <w:spacing w:after="0"/>
        <w:jc w:val="both"/>
        <w:rPr>
          <w:rFonts w:ascii="Times New Roman" w:hAnsi="Times New Roman" w:cs="Times New Roman"/>
          <w:sz w:val="24"/>
          <w:szCs w:val="24"/>
        </w:rPr>
      </w:pPr>
      <w:r w:rsidRPr="006F24E7">
        <w:rPr>
          <w:rFonts w:ascii="Times New Roman" w:hAnsi="Times New Roman" w:cs="Times New Roman"/>
          <w:sz w:val="24"/>
          <w:szCs w:val="24"/>
        </w:rPr>
        <w:t xml:space="preserve">The Supreme Court is introducing </w:t>
      </w:r>
      <w:r w:rsidR="00835D87">
        <w:rPr>
          <w:rFonts w:ascii="Times New Roman" w:hAnsi="Times New Roman" w:cs="Times New Roman"/>
          <w:sz w:val="24"/>
          <w:szCs w:val="24"/>
        </w:rPr>
        <w:t>new case management procedures</w:t>
      </w:r>
      <w:r w:rsidRPr="006F24E7">
        <w:rPr>
          <w:rFonts w:ascii="Times New Roman" w:hAnsi="Times New Roman" w:cs="Times New Roman"/>
          <w:sz w:val="24"/>
          <w:szCs w:val="24"/>
        </w:rPr>
        <w:t xml:space="preserve"> for matters in the Judicial Review and Appeals List (‘JRAL’). This new approach will expedite the hearing and determination of applications for leave and appeals.</w:t>
      </w:r>
      <w:r w:rsidR="00275D5C">
        <w:rPr>
          <w:rFonts w:ascii="Times New Roman" w:hAnsi="Times New Roman" w:cs="Times New Roman"/>
          <w:sz w:val="24"/>
          <w:szCs w:val="24"/>
        </w:rPr>
        <w:t xml:space="preserve"> </w:t>
      </w:r>
      <w:r w:rsidR="005F286E">
        <w:rPr>
          <w:rFonts w:ascii="Times New Roman" w:hAnsi="Times New Roman" w:cs="Times New Roman"/>
          <w:sz w:val="24"/>
          <w:szCs w:val="24"/>
        </w:rPr>
        <w:t>A</w:t>
      </w:r>
      <w:r w:rsidR="00DA64D7">
        <w:rPr>
          <w:rFonts w:ascii="Times New Roman" w:hAnsi="Times New Roman" w:cs="Times New Roman"/>
          <w:sz w:val="24"/>
          <w:szCs w:val="24"/>
        </w:rPr>
        <w:t>s from 26</w:t>
      </w:r>
      <w:r w:rsidR="005F286E">
        <w:rPr>
          <w:rFonts w:ascii="Times New Roman" w:hAnsi="Times New Roman" w:cs="Times New Roman"/>
          <w:sz w:val="24"/>
          <w:szCs w:val="24"/>
        </w:rPr>
        <w:t xml:space="preserve"> September 2016, the p</w:t>
      </w:r>
      <w:r w:rsidR="00275D5C">
        <w:rPr>
          <w:rFonts w:ascii="Times New Roman" w:hAnsi="Times New Roman" w:cs="Times New Roman"/>
          <w:sz w:val="24"/>
          <w:szCs w:val="24"/>
        </w:rPr>
        <w:t>rocedures outlined in Practice Note No 9 of</w:t>
      </w:r>
      <w:r w:rsidR="003A3F8A">
        <w:rPr>
          <w:rFonts w:ascii="Times New Roman" w:hAnsi="Times New Roman" w:cs="Times New Roman"/>
          <w:sz w:val="24"/>
          <w:szCs w:val="24"/>
        </w:rPr>
        <w:t xml:space="preserve"> 2015 should be read subject to</w:t>
      </w:r>
      <w:r w:rsidR="00275D5C">
        <w:rPr>
          <w:rFonts w:ascii="Times New Roman" w:hAnsi="Times New Roman" w:cs="Times New Roman"/>
          <w:sz w:val="24"/>
          <w:szCs w:val="24"/>
        </w:rPr>
        <w:t xml:space="preserve"> this Notice. A revised Practice Note will be issued in early 2017. </w:t>
      </w:r>
    </w:p>
    <w:p w:rsidR="006F24E7" w:rsidRDefault="006F24E7" w:rsidP="006F24E7">
      <w:pPr>
        <w:tabs>
          <w:tab w:val="left" w:pos="1440"/>
        </w:tabs>
        <w:spacing w:after="0"/>
        <w:jc w:val="both"/>
        <w:rPr>
          <w:rFonts w:ascii="Times New Roman" w:hAnsi="Times New Roman" w:cs="Times New Roman"/>
          <w:sz w:val="24"/>
          <w:szCs w:val="24"/>
        </w:rPr>
      </w:pPr>
    </w:p>
    <w:p w:rsidR="00477673" w:rsidRDefault="00F02223" w:rsidP="00477673">
      <w:pPr>
        <w:tabs>
          <w:tab w:val="left" w:pos="1440"/>
        </w:tabs>
        <w:spacing w:after="0"/>
        <w:jc w:val="both"/>
        <w:rPr>
          <w:rFonts w:ascii="Times New Roman" w:hAnsi="Times New Roman" w:cs="Times New Roman"/>
          <w:b/>
          <w:sz w:val="24"/>
          <w:szCs w:val="24"/>
        </w:rPr>
      </w:pPr>
      <w:r>
        <w:rPr>
          <w:rFonts w:ascii="Times New Roman" w:hAnsi="Times New Roman" w:cs="Times New Roman"/>
          <w:sz w:val="24"/>
          <w:szCs w:val="24"/>
        </w:rPr>
        <w:t xml:space="preserve">The Court has established a team </w:t>
      </w:r>
      <w:r w:rsidR="00F40C2E">
        <w:rPr>
          <w:rFonts w:ascii="Times New Roman" w:hAnsi="Times New Roman" w:cs="Times New Roman"/>
          <w:sz w:val="24"/>
          <w:szCs w:val="24"/>
        </w:rPr>
        <w:t xml:space="preserve">of </w:t>
      </w:r>
      <w:r>
        <w:rPr>
          <w:rFonts w:ascii="Times New Roman" w:hAnsi="Times New Roman" w:cs="Times New Roman"/>
          <w:sz w:val="24"/>
          <w:szCs w:val="24"/>
        </w:rPr>
        <w:t xml:space="preserve">registry lawyers to provide enhanced case management support for JRAL proceedings. </w:t>
      </w:r>
      <w:r w:rsidR="00477673">
        <w:rPr>
          <w:rFonts w:ascii="Times New Roman" w:hAnsi="Times New Roman" w:cs="Times New Roman"/>
          <w:sz w:val="24"/>
          <w:szCs w:val="24"/>
        </w:rPr>
        <w:t xml:space="preserve">While principally providing assistance to judicial officers, the team will also be a convenient point of contact for practitioners and litigants in the JRAL. All enquiries with regard to the JRAL should be directed to the team at </w:t>
      </w:r>
      <w:hyperlink r:id="rId13" w:history="1">
        <w:r w:rsidR="00477673" w:rsidRPr="0096011C">
          <w:rPr>
            <w:rStyle w:val="Hyperlink"/>
            <w:rFonts w:ascii="Times New Roman" w:hAnsi="Times New Roman" w:cs="Times New Roman"/>
            <w:sz w:val="24"/>
            <w:szCs w:val="24"/>
          </w:rPr>
          <w:t>judicialreview@supcourt.vic.gov.au</w:t>
        </w:r>
      </w:hyperlink>
      <w:r w:rsidR="00477673">
        <w:rPr>
          <w:rFonts w:ascii="Times New Roman" w:hAnsi="Times New Roman" w:cs="Times New Roman"/>
          <w:sz w:val="24"/>
          <w:szCs w:val="24"/>
        </w:rPr>
        <w:t xml:space="preserve">. </w:t>
      </w:r>
    </w:p>
    <w:p w:rsidR="00F02223" w:rsidRDefault="00F02223" w:rsidP="006F24E7">
      <w:pPr>
        <w:tabs>
          <w:tab w:val="left" w:pos="1440"/>
        </w:tabs>
        <w:spacing w:after="0"/>
        <w:jc w:val="both"/>
        <w:rPr>
          <w:rFonts w:ascii="Times New Roman" w:hAnsi="Times New Roman" w:cs="Times New Roman"/>
          <w:b/>
          <w:sz w:val="24"/>
          <w:szCs w:val="24"/>
        </w:rPr>
      </w:pPr>
    </w:p>
    <w:p w:rsidR="00F4110D" w:rsidRDefault="00F4110D" w:rsidP="006F24E7">
      <w:pPr>
        <w:tabs>
          <w:tab w:val="left" w:pos="1440"/>
        </w:tabs>
        <w:spacing w:after="0"/>
        <w:jc w:val="both"/>
        <w:rPr>
          <w:rFonts w:ascii="Times New Roman" w:hAnsi="Times New Roman" w:cs="Times New Roman"/>
          <w:b/>
          <w:sz w:val="24"/>
          <w:szCs w:val="24"/>
        </w:rPr>
      </w:pPr>
    </w:p>
    <w:p w:rsidR="009F34BC" w:rsidRPr="004E57F5" w:rsidRDefault="009F34BC" w:rsidP="004E57F5">
      <w:pPr>
        <w:pStyle w:val="ListParagraph"/>
        <w:numPr>
          <w:ilvl w:val="0"/>
          <w:numId w:val="11"/>
        </w:numPr>
        <w:tabs>
          <w:tab w:val="left" w:pos="1440"/>
        </w:tabs>
        <w:spacing w:after="0"/>
        <w:jc w:val="both"/>
        <w:rPr>
          <w:rFonts w:ascii="Times New Roman" w:hAnsi="Times New Roman" w:cs="Times New Roman"/>
          <w:b/>
          <w:sz w:val="24"/>
          <w:szCs w:val="24"/>
        </w:rPr>
      </w:pPr>
      <w:r w:rsidRPr="004E57F5">
        <w:rPr>
          <w:rFonts w:ascii="Times New Roman" w:hAnsi="Times New Roman" w:cs="Times New Roman"/>
          <w:b/>
          <w:sz w:val="24"/>
          <w:szCs w:val="24"/>
        </w:rPr>
        <w:t>First hearing</w:t>
      </w:r>
    </w:p>
    <w:p w:rsidR="009F34BC" w:rsidRDefault="009F34BC" w:rsidP="006F24E7">
      <w:pPr>
        <w:tabs>
          <w:tab w:val="left" w:pos="1440"/>
        </w:tabs>
        <w:spacing w:after="0"/>
        <w:jc w:val="both"/>
        <w:rPr>
          <w:rFonts w:ascii="Times New Roman" w:hAnsi="Times New Roman" w:cs="Times New Roman"/>
          <w:sz w:val="24"/>
          <w:szCs w:val="24"/>
        </w:rPr>
      </w:pPr>
    </w:p>
    <w:p w:rsidR="00232078" w:rsidRDefault="00275D5C" w:rsidP="00963A07">
      <w:pPr>
        <w:tabs>
          <w:tab w:val="left" w:pos="1440"/>
        </w:tabs>
        <w:spacing w:after="0"/>
        <w:jc w:val="both"/>
        <w:rPr>
          <w:rFonts w:ascii="Times New Roman" w:hAnsi="Times New Roman" w:cs="Times New Roman"/>
          <w:sz w:val="24"/>
          <w:szCs w:val="24"/>
        </w:rPr>
      </w:pPr>
      <w:r>
        <w:rPr>
          <w:rFonts w:ascii="Times New Roman" w:hAnsi="Times New Roman" w:cs="Times New Roman"/>
          <w:sz w:val="24"/>
          <w:szCs w:val="24"/>
        </w:rPr>
        <w:t xml:space="preserve">The first hearing in a JRAL proceeding will generally be for </w:t>
      </w:r>
      <w:r w:rsidRPr="004E57F5">
        <w:rPr>
          <w:rFonts w:ascii="Times New Roman" w:hAnsi="Times New Roman" w:cs="Times New Roman"/>
          <w:b/>
          <w:sz w:val="24"/>
          <w:szCs w:val="24"/>
        </w:rPr>
        <w:t>directions only</w:t>
      </w:r>
      <w:r w:rsidR="00232078">
        <w:rPr>
          <w:rFonts w:ascii="Times New Roman" w:hAnsi="Times New Roman" w:cs="Times New Roman"/>
          <w:sz w:val="24"/>
          <w:szCs w:val="24"/>
        </w:rPr>
        <w:t xml:space="preserve"> and no substantive applications will be entertained.</w:t>
      </w:r>
      <w:r w:rsidRPr="005658F2">
        <w:rPr>
          <w:rFonts w:ascii="Times New Roman" w:hAnsi="Times New Roman" w:cs="Times New Roman"/>
          <w:sz w:val="24"/>
          <w:szCs w:val="24"/>
        </w:rPr>
        <w:t xml:space="preserve"> </w:t>
      </w:r>
    </w:p>
    <w:p w:rsidR="00232078" w:rsidRDefault="00232078" w:rsidP="00963A07">
      <w:pPr>
        <w:tabs>
          <w:tab w:val="left" w:pos="1440"/>
        </w:tabs>
        <w:spacing w:after="0"/>
        <w:jc w:val="both"/>
        <w:rPr>
          <w:rFonts w:ascii="Times New Roman" w:hAnsi="Times New Roman" w:cs="Times New Roman"/>
          <w:sz w:val="24"/>
          <w:szCs w:val="24"/>
        </w:rPr>
      </w:pPr>
    </w:p>
    <w:p w:rsidR="00BD55DB" w:rsidRDefault="005658F2" w:rsidP="00A504DF">
      <w:pPr>
        <w:tabs>
          <w:tab w:val="left" w:pos="1440"/>
        </w:tabs>
        <w:spacing w:after="0"/>
        <w:jc w:val="both"/>
        <w:rPr>
          <w:rFonts w:ascii="Times New Roman" w:hAnsi="Times New Roman" w:cs="Times New Roman"/>
          <w:sz w:val="24"/>
          <w:szCs w:val="24"/>
        </w:rPr>
      </w:pPr>
      <w:r>
        <w:rPr>
          <w:rFonts w:ascii="Times New Roman" w:hAnsi="Times New Roman" w:cs="Times New Roman"/>
          <w:sz w:val="24"/>
          <w:szCs w:val="24"/>
        </w:rPr>
        <w:t>Proceedings in which all parties are represented and which do not require leave will normally be listed for pre-trial directions before the Associate Judge in charge of listings on any Tuesday in the Court sitting period at 10:00am.</w:t>
      </w:r>
      <w:r w:rsidR="00963A07">
        <w:rPr>
          <w:rFonts w:ascii="Times New Roman" w:hAnsi="Times New Roman" w:cs="Times New Roman"/>
          <w:sz w:val="24"/>
          <w:szCs w:val="24"/>
        </w:rPr>
        <w:t xml:space="preserve"> At that hearing, the Associate Judge</w:t>
      </w:r>
      <w:r>
        <w:rPr>
          <w:rFonts w:ascii="Times New Roman" w:hAnsi="Times New Roman" w:cs="Times New Roman"/>
          <w:sz w:val="24"/>
          <w:szCs w:val="24"/>
        </w:rPr>
        <w:t xml:space="preserve"> </w:t>
      </w:r>
      <w:r w:rsidR="00963A07">
        <w:rPr>
          <w:rFonts w:ascii="Times New Roman" w:hAnsi="Times New Roman" w:cs="Times New Roman"/>
          <w:sz w:val="24"/>
          <w:szCs w:val="24"/>
        </w:rPr>
        <w:t xml:space="preserve">will usually fix the matter for trial. </w:t>
      </w:r>
    </w:p>
    <w:p w:rsidR="00230E15" w:rsidRDefault="00230E15" w:rsidP="00A504DF">
      <w:pPr>
        <w:tabs>
          <w:tab w:val="left" w:pos="1440"/>
        </w:tabs>
        <w:spacing w:after="0"/>
        <w:jc w:val="both"/>
        <w:rPr>
          <w:rFonts w:ascii="Times New Roman" w:hAnsi="Times New Roman" w:cs="Times New Roman"/>
          <w:sz w:val="24"/>
          <w:szCs w:val="24"/>
        </w:rPr>
      </w:pPr>
    </w:p>
    <w:p w:rsidR="00A504DF" w:rsidRPr="006F24E7" w:rsidRDefault="00963A07" w:rsidP="00A504DF">
      <w:pPr>
        <w:tabs>
          <w:tab w:val="left" w:pos="1440"/>
        </w:tabs>
        <w:spacing w:after="0"/>
        <w:jc w:val="both"/>
        <w:rPr>
          <w:rFonts w:ascii="Times New Roman" w:hAnsi="Times New Roman" w:cs="Times New Roman"/>
          <w:sz w:val="24"/>
          <w:szCs w:val="24"/>
        </w:rPr>
      </w:pPr>
      <w:r>
        <w:rPr>
          <w:rFonts w:ascii="Times New Roman" w:hAnsi="Times New Roman" w:cs="Times New Roman"/>
          <w:sz w:val="24"/>
          <w:szCs w:val="24"/>
        </w:rPr>
        <w:t xml:space="preserve">All other </w:t>
      </w:r>
      <w:r w:rsidR="00D24FD0">
        <w:rPr>
          <w:rFonts w:ascii="Times New Roman" w:hAnsi="Times New Roman" w:cs="Times New Roman"/>
          <w:sz w:val="24"/>
          <w:szCs w:val="24"/>
        </w:rPr>
        <w:t xml:space="preserve">new </w:t>
      </w:r>
      <w:r>
        <w:rPr>
          <w:rFonts w:ascii="Times New Roman" w:hAnsi="Times New Roman" w:cs="Times New Roman"/>
          <w:sz w:val="24"/>
          <w:szCs w:val="24"/>
        </w:rPr>
        <w:t xml:space="preserve">proceedings will be listed for directions </w:t>
      </w:r>
      <w:r w:rsidR="005658F2">
        <w:rPr>
          <w:rFonts w:ascii="Times New Roman" w:hAnsi="Times New Roman" w:cs="Times New Roman"/>
          <w:sz w:val="24"/>
          <w:szCs w:val="24"/>
        </w:rPr>
        <w:t xml:space="preserve">before </w:t>
      </w:r>
      <w:r w:rsidR="00D24FD0">
        <w:rPr>
          <w:rFonts w:ascii="Times New Roman" w:hAnsi="Times New Roman" w:cs="Times New Roman"/>
          <w:sz w:val="24"/>
          <w:szCs w:val="24"/>
        </w:rPr>
        <w:t xml:space="preserve">one of </w:t>
      </w:r>
      <w:r w:rsidR="005658F2">
        <w:rPr>
          <w:rFonts w:ascii="Times New Roman" w:hAnsi="Times New Roman" w:cs="Times New Roman"/>
          <w:sz w:val="24"/>
          <w:szCs w:val="24"/>
        </w:rPr>
        <w:t>the Judge</w:t>
      </w:r>
      <w:r w:rsidR="00D24FD0">
        <w:rPr>
          <w:rFonts w:ascii="Times New Roman" w:hAnsi="Times New Roman" w:cs="Times New Roman"/>
          <w:sz w:val="24"/>
          <w:szCs w:val="24"/>
        </w:rPr>
        <w:t>s</w:t>
      </w:r>
      <w:r w:rsidR="005658F2">
        <w:rPr>
          <w:rFonts w:ascii="Times New Roman" w:hAnsi="Times New Roman" w:cs="Times New Roman"/>
          <w:sz w:val="24"/>
          <w:szCs w:val="24"/>
        </w:rPr>
        <w:t xml:space="preserve"> in Charge of the List</w:t>
      </w:r>
      <w:r w:rsidR="00D24FD0">
        <w:rPr>
          <w:rFonts w:ascii="Times New Roman" w:hAnsi="Times New Roman" w:cs="Times New Roman"/>
          <w:sz w:val="24"/>
          <w:szCs w:val="24"/>
        </w:rPr>
        <w:t>, Justice Ginnane,</w:t>
      </w:r>
      <w:r w:rsidR="005658F2">
        <w:rPr>
          <w:rFonts w:ascii="Times New Roman" w:hAnsi="Times New Roman" w:cs="Times New Roman"/>
          <w:sz w:val="24"/>
          <w:szCs w:val="24"/>
        </w:rPr>
        <w:t xml:space="preserve"> </w:t>
      </w:r>
      <w:r>
        <w:rPr>
          <w:rFonts w:ascii="Times New Roman" w:hAnsi="Times New Roman" w:cs="Times New Roman"/>
          <w:sz w:val="24"/>
          <w:szCs w:val="24"/>
        </w:rPr>
        <w:t>on a JRAL directions day (9:30am on the 2</w:t>
      </w:r>
      <w:r w:rsidRPr="004E57F5">
        <w:rPr>
          <w:rFonts w:ascii="Times New Roman" w:hAnsi="Times New Roman" w:cs="Times New Roman"/>
          <w:sz w:val="24"/>
          <w:szCs w:val="24"/>
          <w:vertAlign w:val="superscript"/>
        </w:rPr>
        <w:t>nd</w:t>
      </w:r>
      <w:r>
        <w:rPr>
          <w:rFonts w:ascii="Times New Roman" w:hAnsi="Times New Roman" w:cs="Times New Roman"/>
          <w:sz w:val="24"/>
          <w:szCs w:val="24"/>
        </w:rPr>
        <w:t xml:space="preserve"> and 4</w:t>
      </w:r>
      <w:r w:rsidRPr="004E57F5">
        <w:rPr>
          <w:rFonts w:ascii="Times New Roman" w:hAnsi="Times New Roman" w:cs="Times New Roman"/>
          <w:sz w:val="24"/>
          <w:szCs w:val="24"/>
          <w:vertAlign w:val="superscript"/>
        </w:rPr>
        <w:t>th</w:t>
      </w:r>
      <w:r>
        <w:rPr>
          <w:rFonts w:ascii="Times New Roman" w:hAnsi="Times New Roman" w:cs="Times New Roman"/>
          <w:sz w:val="24"/>
          <w:szCs w:val="24"/>
        </w:rPr>
        <w:t xml:space="preserve"> Wednesdays of each month in the Court sitting period, commencing 28 September 2016).</w:t>
      </w:r>
      <w:r w:rsidR="00A504DF" w:rsidRPr="00A504DF">
        <w:rPr>
          <w:rFonts w:ascii="Times New Roman" w:hAnsi="Times New Roman" w:cs="Times New Roman"/>
          <w:sz w:val="24"/>
          <w:szCs w:val="24"/>
        </w:rPr>
        <w:t xml:space="preserve"> </w:t>
      </w:r>
      <w:r w:rsidR="00A504DF" w:rsidRPr="006F24E7">
        <w:rPr>
          <w:rFonts w:ascii="Times New Roman" w:hAnsi="Times New Roman" w:cs="Times New Roman"/>
          <w:sz w:val="24"/>
          <w:szCs w:val="24"/>
        </w:rPr>
        <w:t xml:space="preserve">At </w:t>
      </w:r>
      <w:r w:rsidR="00A504DF">
        <w:rPr>
          <w:rFonts w:ascii="Times New Roman" w:hAnsi="Times New Roman" w:cs="Times New Roman"/>
          <w:sz w:val="24"/>
          <w:szCs w:val="24"/>
        </w:rPr>
        <w:t xml:space="preserve">the </w:t>
      </w:r>
      <w:r w:rsidR="00A504DF" w:rsidRPr="006F24E7">
        <w:rPr>
          <w:rFonts w:ascii="Times New Roman" w:hAnsi="Times New Roman" w:cs="Times New Roman"/>
          <w:sz w:val="24"/>
          <w:szCs w:val="24"/>
        </w:rPr>
        <w:t>directions hearing:</w:t>
      </w:r>
    </w:p>
    <w:p w:rsidR="00A504DF" w:rsidRPr="007C7DC6" w:rsidRDefault="00A504DF" w:rsidP="00A504DF">
      <w:pPr>
        <w:pStyle w:val="ListParagraph"/>
        <w:numPr>
          <w:ilvl w:val="0"/>
          <w:numId w:val="7"/>
        </w:numPr>
        <w:tabs>
          <w:tab w:val="left" w:pos="1440"/>
        </w:tabs>
        <w:spacing w:after="120"/>
        <w:contextualSpacing w:val="0"/>
        <w:jc w:val="both"/>
        <w:rPr>
          <w:rFonts w:ascii="Times New Roman" w:hAnsi="Times New Roman" w:cs="Times New Roman"/>
          <w:sz w:val="24"/>
          <w:szCs w:val="24"/>
        </w:rPr>
      </w:pPr>
      <w:r w:rsidRPr="006F24E7">
        <w:rPr>
          <w:rFonts w:ascii="Times New Roman" w:hAnsi="Times New Roman" w:cs="Times New Roman"/>
          <w:sz w:val="24"/>
          <w:szCs w:val="24"/>
        </w:rPr>
        <w:t xml:space="preserve">The Judge will fix a </w:t>
      </w:r>
      <w:r w:rsidR="00D24FD0">
        <w:rPr>
          <w:rFonts w:ascii="Times New Roman" w:hAnsi="Times New Roman" w:cs="Times New Roman"/>
          <w:sz w:val="24"/>
          <w:szCs w:val="24"/>
        </w:rPr>
        <w:t xml:space="preserve">timetable for interlocutory steps and </w:t>
      </w:r>
      <w:r w:rsidRPr="006F24E7">
        <w:rPr>
          <w:rFonts w:ascii="Times New Roman" w:hAnsi="Times New Roman" w:cs="Times New Roman"/>
          <w:sz w:val="24"/>
          <w:szCs w:val="24"/>
        </w:rPr>
        <w:t>trial date in most matters</w:t>
      </w:r>
      <w:r w:rsidR="00F02223">
        <w:rPr>
          <w:rFonts w:ascii="Times New Roman" w:hAnsi="Times New Roman" w:cs="Times New Roman"/>
          <w:sz w:val="24"/>
          <w:szCs w:val="24"/>
        </w:rPr>
        <w:t xml:space="preserve"> and make orders in relation to </w:t>
      </w:r>
      <w:r w:rsidR="0028493B">
        <w:rPr>
          <w:rFonts w:ascii="Times New Roman" w:hAnsi="Times New Roman" w:cs="Times New Roman"/>
          <w:sz w:val="24"/>
          <w:szCs w:val="24"/>
        </w:rPr>
        <w:t xml:space="preserve">the hearing of any application for leave or </w:t>
      </w:r>
      <w:r w:rsidR="00D24FD0">
        <w:rPr>
          <w:rFonts w:ascii="Times New Roman" w:hAnsi="Times New Roman" w:cs="Times New Roman"/>
          <w:sz w:val="24"/>
          <w:szCs w:val="24"/>
        </w:rPr>
        <w:t xml:space="preserve">of </w:t>
      </w:r>
      <w:r w:rsidR="00F02223">
        <w:rPr>
          <w:rFonts w:ascii="Times New Roman" w:hAnsi="Times New Roman" w:cs="Times New Roman"/>
          <w:sz w:val="24"/>
          <w:szCs w:val="24"/>
        </w:rPr>
        <w:t xml:space="preserve">any </w:t>
      </w:r>
      <w:r w:rsidR="0028493B">
        <w:rPr>
          <w:rFonts w:ascii="Times New Roman" w:hAnsi="Times New Roman" w:cs="Times New Roman"/>
          <w:sz w:val="24"/>
          <w:szCs w:val="24"/>
        </w:rPr>
        <w:t xml:space="preserve">other </w:t>
      </w:r>
      <w:r w:rsidR="00F02223">
        <w:rPr>
          <w:rFonts w:ascii="Times New Roman" w:hAnsi="Times New Roman" w:cs="Times New Roman"/>
          <w:sz w:val="24"/>
          <w:szCs w:val="24"/>
        </w:rPr>
        <w:t>foreshadowed interlocutory application</w:t>
      </w:r>
      <w:r w:rsidR="00230E15">
        <w:rPr>
          <w:rFonts w:ascii="Times New Roman" w:hAnsi="Times New Roman" w:cs="Times New Roman"/>
          <w:sz w:val="24"/>
          <w:szCs w:val="24"/>
        </w:rPr>
        <w:t>s;</w:t>
      </w:r>
      <w:r w:rsidRPr="006F24E7">
        <w:rPr>
          <w:rFonts w:ascii="Times New Roman" w:hAnsi="Times New Roman" w:cs="Times New Roman"/>
          <w:sz w:val="24"/>
          <w:szCs w:val="24"/>
        </w:rPr>
        <w:t xml:space="preserve"> </w:t>
      </w:r>
    </w:p>
    <w:p w:rsidR="00D24FD0" w:rsidRDefault="00A504DF" w:rsidP="00A504DF">
      <w:pPr>
        <w:pStyle w:val="ListParagraph"/>
        <w:numPr>
          <w:ilvl w:val="0"/>
          <w:numId w:val="7"/>
        </w:numPr>
        <w:tabs>
          <w:tab w:val="left" w:pos="1440"/>
        </w:tabs>
        <w:spacing w:after="120"/>
        <w:contextualSpacing w:val="0"/>
        <w:jc w:val="both"/>
        <w:rPr>
          <w:rFonts w:ascii="Times New Roman" w:hAnsi="Times New Roman" w:cs="Times New Roman"/>
          <w:sz w:val="24"/>
          <w:szCs w:val="24"/>
        </w:rPr>
      </w:pPr>
      <w:r w:rsidRPr="006F24E7">
        <w:rPr>
          <w:rFonts w:ascii="Times New Roman" w:hAnsi="Times New Roman" w:cs="Times New Roman"/>
          <w:sz w:val="24"/>
          <w:szCs w:val="24"/>
        </w:rPr>
        <w:t>Where appropriate, the Judge may direct that applications for leave to appeal be heard with the appeal</w:t>
      </w:r>
      <w:r>
        <w:rPr>
          <w:rFonts w:ascii="Times New Roman" w:hAnsi="Times New Roman" w:cs="Times New Roman"/>
          <w:sz w:val="24"/>
          <w:szCs w:val="24"/>
        </w:rPr>
        <w:t>, should leave be granted</w:t>
      </w:r>
      <w:r w:rsidR="00D24FD0">
        <w:rPr>
          <w:rFonts w:ascii="Times New Roman" w:hAnsi="Times New Roman" w:cs="Times New Roman"/>
          <w:sz w:val="24"/>
          <w:szCs w:val="24"/>
        </w:rPr>
        <w:t>;</w:t>
      </w:r>
    </w:p>
    <w:p w:rsidR="00A504DF" w:rsidRDefault="00D24FD0" w:rsidP="00A504DF">
      <w:pPr>
        <w:pStyle w:val="ListParagraph"/>
        <w:numPr>
          <w:ilvl w:val="0"/>
          <w:numId w:val="7"/>
        </w:numPr>
        <w:tabs>
          <w:tab w:val="left" w:pos="1440"/>
        </w:tabs>
        <w:spacing w:after="120"/>
        <w:contextualSpacing w:val="0"/>
        <w:jc w:val="both"/>
        <w:rPr>
          <w:rFonts w:ascii="Times New Roman" w:hAnsi="Times New Roman" w:cs="Times New Roman"/>
          <w:sz w:val="24"/>
          <w:szCs w:val="24"/>
        </w:rPr>
      </w:pPr>
      <w:r>
        <w:rPr>
          <w:rFonts w:ascii="Times New Roman" w:hAnsi="Times New Roman" w:cs="Times New Roman"/>
          <w:sz w:val="24"/>
          <w:szCs w:val="24"/>
        </w:rPr>
        <w:t>In so far as necessary or appropriate, the Judge may dispense with any inconsistent requirements of the Rules of Court</w:t>
      </w:r>
      <w:r w:rsidR="00A504DF" w:rsidRPr="006F24E7">
        <w:rPr>
          <w:rFonts w:ascii="Times New Roman" w:hAnsi="Times New Roman" w:cs="Times New Roman"/>
          <w:sz w:val="24"/>
          <w:szCs w:val="24"/>
        </w:rPr>
        <w:t xml:space="preserve">.  </w:t>
      </w:r>
    </w:p>
    <w:p w:rsidR="00DC159C" w:rsidRPr="00DC159C" w:rsidRDefault="00DC159C" w:rsidP="00DC159C">
      <w:pPr>
        <w:tabs>
          <w:tab w:val="left" w:pos="1440"/>
        </w:tabs>
        <w:spacing w:after="120"/>
        <w:jc w:val="both"/>
        <w:rPr>
          <w:rFonts w:ascii="Times New Roman" w:hAnsi="Times New Roman" w:cs="Times New Roman"/>
          <w:sz w:val="24"/>
          <w:szCs w:val="24"/>
        </w:rPr>
      </w:pPr>
    </w:p>
    <w:p w:rsidR="005C13CC" w:rsidRPr="00DC159C" w:rsidRDefault="005C13CC" w:rsidP="00DC159C">
      <w:pPr>
        <w:pStyle w:val="ListParagraph"/>
        <w:numPr>
          <w:ilvl w:val="0"/>
          <w:numId w:val="11"/>
        </w:numPr>
        <w:tabs>
          <w:tab w:val="left" w:pos="1440"/>
        </w:tabs>
        <w:spacing w:after="0"/>
        <w:jc w:val="both"/>
        <w:rPr>
          <w:rFonts w:ascii="Times New Roman" w:hAnsi="Times New Roman" w:cs="Times New Roman"/>
          <w:b/>
          <w:sz w:val="24"/>
          <w:szCs w:val="24"/>
        </w:rPr>
      </w:pPr>
      <w:r>
        <w:rPr>
          <w:rFonts w:ascii="Times New Roman" w:hAnsi="Times New Roman" w:cs="Times New Roman"/>
          <w:b/>
          <w:sz w:val="24"/>
          <w:szCs w:val="24"/>
        </w:rPr>
        <w:t>Consent minutes</w:t>
      </w:r>
    </w:p>
    <w:p w:rsidR="005C13CC" w:rsidRDefault="005C13CC" w:rsidP="00DC159C">
      <w:pPr>
        <w:tabs>
          <w:tab w:val="left" w:pos="0"/>
        </w:tabs>
        <w:spacing w:after="0"/>
        <w:jc w:val="both"/>
        <w:rPr>
          <w:rFonts w:ascii="Times New Roman" w:hAnsi="Times New Roman" w:cs="Times New Roman"/>
          <w:sz w:val="24"/>
          <w:szCs w:val="24"/>
        </w:rPr>
      </w:pPr>
    </w:p>
    <w:p w:rsidR="003B79FA" w:rsidRDefault="00BD55DB" w:rsidP="00DC159C">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Whether a proceeding is listed for first hearing before the Associate Judge or the Judge, parties</w:t>
      </w:r>
      <w:r w:rsidR="005C13CC">
        <w:rPr>
          <w:rFonts w:ascii="Times New Roman" w:hAnsi="Times New Roman" w:cs="Times New Roman"/>
          <w:sz w:val="24"/>
          <w:szCs w:val="24"/>
        </w:rPr>
        <w:t xml:space="preserve"> are encouraged to submit minutes of consent in accordance with Schedule 1 to Practice Note No 9 of 2015</w:t>
      </w:r>
      <w:r w:rsidR="00DC159C">
        <w:rPr>
          <w:rFonts w:ascii="Times New Roman" w:hAnsi="Times New Roman" w:cs="Times New Roman"/>
          <w:sz w:val="24"/>
          <w:szCs w:val="24"/>
        </w:rPr>
        <w:t>. Consent minutes should</w:t>
      </w:r>
      <w:r w:rsidR="005C13CC">
        <w:rPr>
          <w:rFonts w:ascii="Times New Roman" w:hAnsi="Times New Roman" w:cs="Times New Roman"/>
          <w:sz w:val="24"/>
          <w:szCs w:val="24"/>
        </w:rPr>
        <w:t xml:space="preserve"> </w:t>
      </w:r>
      <w:r w:rsidR="00DC159C">
        <w:rPr>
          <w:rFonts w:ascii="Times New Roman" w:hAnsi="Times New Roman" w:cs="Times New Roman"/>
          <w:sz w:val="24"/>
          <w:szCs w:val="24"/>
        </w:rPr>
        <w:t xml:space="preserve">include </w:t>
      </w:r>
      <w:r w:rsidR="005C13CC">
        <w:rPr>
          <w:rFonts w:ascii="Times New Roman" w:hAnsi="Times New Roman" w:cs="Times New Roman"/>
          <w:sz w:val="24"/>
          <w:szCs w:val="24"/>
        </w:rPr>
        <w:t>an agreed timetable and “not before” date for trial to enable orders to be made on the papers without the need for an appearance. Parties are nevertheless required to appear unless advised to the contrary.</w:t>
      </w:r>
      <w:r w:rsidR="003B79FA" w:rsidRPr="00DC159C">
        <w:rPr>
          <w:rFonts w:ascii="Times New Roman" w:hAnsi="Times New Roman" w:cs="Times New Roman"/>
          <w:sz w:val="24"/>
          <w:szCs w:val="24"/>
        </w:rPr>
        <w:t xml:space="preserve">  </w:t>
      </w:r>
    </w:p>
    <w:p w:rsidR="00BD55DB" w:rsidRDefault="00BD55DB" w:rsidP="00DC159C">
      <w:pPr>
        <w:tabs>
          <w:tab w:val="left" w:pos="0"/>
        </w:tabs>
        <w:spacing w:after="0"/>
        <w:jc w:val="both"/>
        <w:rPr>
          <w:rFonts w:ascii="Times New Roman" w:hAnsi="Times New Roman" w:cs="Times New Roman"/>
          <w:sz w:val="24"/>
          <w:szCs w:val="24"/>
        </w:rPr>
      </w:pPr>
    </w:p>
    <w:p w:rsidR="00BD55DB" w:rsidRDefault="00BD55DB" w:rsidP="00DC159C">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Consent minutes should be sent via email</w:t>
      </w:r>
      <w:r w:rsidR="007F4299">
        <w:rPr>
          <w:rFonts w:ascii="Times New Roman" w:hAnsi="Times New Roman" w:cs="Times New Roman"/>
          <w:sz w:val="24"/>
          <w:szCs w:val="24"/>
        </w:rPr>
        <w:t xml:space="preserve"> in both editable and PDF formats</w:t>
      </w:r>
      <w:r w:rsidR="00DE407E">
        <w:rPr>
          <w:rFonts w:ascii="Times New Roman" w:hAnsi="Times New Roman" w:cs="Times New Roman"/>
          <w:sz w:val="24"/>
          <w:szCs w:val="24"/>
        </w:rPr>
        <w:t xml:space="preserve"> </w:t>
      </w:r>
      <w:r w:rsidR="00DE407E" w:rsidRPr="00DE407E">
        <w:rPr>
          <w:rFonts w:ascii="Times New Roman" w:hAnsi="Times New Roman" w:cs="Times New Roman"/>
          <w:sz w:val="24"/>
          <w:szCs w:val="24"/>
        </w:rPr>
        <w:t>no later than 4:00pm on the Monday preceding the directions day</w:t>
      </w:r>
      <w:r>
        <w:rPr>
          <w:rFonts w:ascii="Times New Roman" w:hAnsi="Times New Roman" w:cs="Times New Roman"/>
          <w:sz w:val="24"/>
          <w:szCs w:val="24"/>
        </w:rPr>
        <w:t>:</w:t>
      </w:r>
    </w:p>
    <w:p w:rsidR="00BD55DB" w:rsidRDefault="007F4299" w:rsidP="00DC159C">
      <w:pPr>
        <w:pStyle w:val="ListParagraph"/>
        <w:numPr>
          <w:ilvl w:val="1"/>
          <w:numId w:val="11"/>
        </w:numPr>
        <w:tabs>
          <w:tab w:val="left" w:pos="0"/>
        </w:tabs>
        <w:spacing w:after="0"/>
        <w:jc w:val="both"/>
        <w:rPr>
          <w:rFonts w:ascii="Times New Roman" w:hAnsi="Times New Roman" w:cs="Times New Roman"/>
          <w:sz w:val="24"/>
          <w:szCs w:val="24"/>
        </w:rPr>
      </w:pPr>
      <w:r w:rsidRPr="00DC22B2">
        <w:rPr>
          <w:rFonts w:ascii="Times New Roman" w:hAnsi="Times New Roman" w:cs="Times New Roman"/>
          <w:sz w:val="24"/>
          <w:szCs w:val="24"/>
        </w:rPr>
        <w:t>in relation to hearings before the Associate Judge</w:t>
      </w:r>
      <w:r>
        <w:rPr>
          <w:rFonts w:ascii="Times New Roman" w:hAnsi="Times New Roman" w:cs="Times New Roman"/>
          <w:sz w:val="24"/>
          <w:szCs w:val="24"/>
        </w:rPr>
        <w:t xml:space="preserve"> in charge of listings, to</w:t>
      </w:r>
      <w:r w:rsidRPr="007F4299">
        <w:rPr>
          <w:rFonts w:ascii="Times New Roman" w:hAnsi="Times New Roman" w:cs="Times New Roman"/>
          <w:sz w:val="24"/>
          <w:szCs w:val="24"/>
        </w:rPr>
        <w:t xml:space="preserve"> </w:t>
      </w:r>
      <w:hyperlink r:id="rId14" w:history="1">
        <w:r w:rsidR="00BD55DB" w:rsidRPr="00BD55DB">
          <w:rPr>
            <w:rStyle w:val="Hyperlink"/>
            <w:rFonts w:ascii="Times New Roman" w:hAnsi="Times New Roman" w:cs="Times New Roman"/>
            <w:sz w:val="24"/>
            <w:szCs w:val="24"/>
          </w:rPr>
          <w:t>daly.associate@supcourt.vic.gov.au</w:t>
        </w:r>
      </w:hyperlink>
      <w:r w:rsidR="00BD55DB" w:rsidRPr="00BD55DB">
        <w:rPr>
          <w:rFonts w:ascii="Times New Roman" w:hAnsi="Times New Roman" w:cs="Times New Roman"/>
          <w:sz w:val="24"/>
          <w:szCs w:val="24"/>
        </w:rPr>
        <w:t xml:space="preserve"> </w:t>
      </w:r>
      <w:r>
        <w:rPr>
          <w:rFonts w:ascii="Times New Roman" w:hAnsi="Times New Roman" w:cs="Times New Roman"/>
          <w:sz w:val="24"/>
          <w:szCs w:val="24"/>
        </w:rPr>
        <w:t xml:space="preserve">(cc. </w:t>
      </w:r>
      <w:hyperlink r:id="rId15" w:history="1">
        <w:r w:rsidRPr="003B79FA">
          <w:rPr>
            <w:rStyle w:val="Hyperlink"/>
            <w:rFonts w:ascii="Times New Roman" w:hAnsi="Times New Roman" w:cs="Times New Roman"/>
            <w:sz w:val="24"/>
            <w:szCs w:val="24"/>
          </w:rPr>
          <w:t>orders@supremecourt.vic.gov.au</w:t>
        </w:r>
      </w:hyperlink>
      <w:r>
        <w:rPr>
          <w:rStyle w:val="Hyperlink"/>
          <w:rFonts w:ascii="Times New Roman" w:hAnsi="Times New Roman" w:cs="Times New Roman"/>
          <w:sz w:val="24"/>
          <w:szCs w:val="24"/>
        </w:rPr>
        <w:t>);</w:t>
      </w:r>
    </w:p>
    <w:p w:rsidR="007F4299" w:rsidRPr="00DE407E" w:rsidRDefault="007F4299" w:rsidP="00DC159C">
      <w:pPr>
        <w:pStyle w:val="ListParagraph"/>
        <w:numPr>
          <w:ilvl w:val="1"/>
          <w:numId w:val="11"/>
        </w:num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in relation to hearings before the Judge in Charge, to </w:t>
      </w:r>
      <w:hyperlink r:id="rId16" w:history="1">
        <w:r w:rsidRPr="00151860">
          <w:rPr>
            <w:rStyle w:val="Hyperlink"/>
            <w:rFonts w:ascii="Times New Roman" w:hAnsi="Times New Roman" w:cs="Times New Roman"/>
            <w:sz w:val="24"/>
            <w:szCs w:val="24"/>
          </w:rPr>
          <w:t>judicialreview@supcourt.vic.gov.au</w:t>
        </w:r>
      </w:hyperlink>
      <w:r>
        <w:rPr>
          <w:rFonts w:ascii="Times New Roman" w:hAnsi="Times New Roman" w:cs="Times New Roman"/>
          <w:sz w:val="24"/>
          <w:szCs w:val="24"/>
        </w:rPr>
        <w:t xml:space="preserve"> (cc. </w:t>
      </w:r>
      <w:hyperlink r:id="rId17" w:history="1">
        <w:r w:rsidRPr="003B79FA">
          <w:rPr>
            <w:rStyle w:val="Hyperlink"/>
            <w:rFonts w:ascii="Times New Roman" w:hAnsi="Times New Roman" w:cs="Times New Roman"/>
            <w:sz w:val="24"/>
            <w:szCs w:val="24"/>
          </w:rPr>
          <w:t>orders@supremecourt.vic.gov.au</w:t>
        </w:r>
      </w:hyperlink>
      <w:r w:rsidRPr="00DE407E">
        <w:rPr>
          <w:rStyle w:val="Hyperlink"/>
          <w:rFonts w:ascii="Times New Roman" w:hAnsi="Times New Roman" w:cs="Times New Roman"/>
          <w:sz w:val="24"/>
          <w:szCs w:val="24"/>
        </w:rPr>
        <w:t>)</w:t>
      </w:r>
      <w:r w:rsidRPr="00DE407E">
        <w:rPr>
          <w:rFonts w:ascii="Times New Roman" w:hAnsi="Times New Roman" w:cs="Times New Roman"/>
          <w:sz w:val="24"/>
          <w:szCs w:val="24"/>
        </w:rPr>
        <w:t>.</w:t>
      </w:r>
    </w:p>
    <w:p w:rsidR="009F34BC" w:rsidRDefault="009F34BC" w:rsidP="00963A07">
      <w:pPr>
        <w:tabs>
          <w:tab w:val="left" w:pos="1440"/>
        </w:tabs>
        <w:spacing w:after="0"/>
        <w:jc w:val="both"/>
        <w:rPr>
          <w:rFonts w:ascii="Times New Roman" w:hAnsi="Times New Roman" w:cs="Times New Roman"/>
          <w:sz w:val="24"/>
          <w:szCs w:val="24"/>
        </w:rPr>
      </w:pPr>
    </w:p>
    <w:p w:rsidR="001D769F" w:rsidRPr="004E57F5" w:rsidRDefault="001D769F" w:rsidP="004E57F5">
      <w:pPr>
        <w:pStyle w:val="ListParagraph"/>
        <w:numPr>
          <w:ilvl w:val="0"/>
          <w:numId w:val="11"/>
        </w:numPr>
        <w:tabs>
          <w:tab w:val="left" w:pos="1440"/>
        </w:tabs>
        <w:spacing w:after="0"/>
        <w:jc w:val="both"/>
        <w:rPr>
          <w:rFonts w:ascii="Times New Roman" w:hAnsi="Times New Roman" w:cs="Times New Roman"/>
          <w:b/>
          <w:sz w:val="24"/>
          <w:szCs w:val="24"/>
        </w:rPr>
      </w:pPr>
      <w:r w:rsidRPr="004E57F5">
        <w:rPr>
          <w:rFonts w:ascii="Times New Roman" w:hAnsi="Times New Roman" w:cs="Times New Roman"/>
          <w:b/>
          <w:sz w:val="24"/>
          <w:szCs w:val="24"/>
        </w:rPr>
        <w:t>Filing of documents</w:t>
      </w:r>
    </w:p>
    <w:p w:rsidR="001D769F" w:rsidRDefault="001D769F" w:rsidP="0056242B">
      <w:pPr>
        <w:tabs>
          <w:tab w:val="left" w:pos="1440"/>
        </w:tabs>
        <w:spacing w:after="0"/>
        <w:jc w:val="both"/>
        <w:rPr>
          <w:rFonts w:ascii="Times New Roman" w:hAnsi="Times New Roman" w:cs="Times New Roman"/>
          <w:sz w:val="24"/>
          <w:szCs w:val="24"/>
        </w:rPr>
      </w:pPr>
    </w:p>
    <w:p w:rsidR="006809BE" w:rsidRDefault="005F286E" w:rsidP="0056242B">
      <w:pPr>
        <w:tabs>
          <w:tab w:val="left" w:pos="1440"/>
        </w:tabs>
        <w:spacing w:after="0"/>
        <w:jc w:val="both"/>
        <w:rPr>
          <w:rFonts w:ascii="Times New Roman" w:hAnsi="Times New Roman" w:cs="Times New Roman"/>
          <w:sz w:val="24"/>
          <w:szCs w:val="24"/>
        </w:rPr>
      </w:pPr>
      <w:r>
        <w:rPr>
          <w:rFonts w:ascii="Times New Roman" w:hAnsi="Times New Roman" w:cs="Times New Roman"/>
          <w:sz w:val="24"/>
          <w:szCs w:val="24"/>
        </w:rPr>
        <w:t>A</w:t>
      </w:r>
      <w:r w:rsidR="00EF70A2">
        <w:rPr>
          <w:rFonts w:ascii="Times New Roman" w:hAnsi="Times New Roman" w:cs="Times New Roman"/>
          <w:sz w:val="24"/>
          <w:szCs w:val="24"/>
        </w:rPr>
        <w:t>ny</w:t>
      </w:r>
      <w:r w:rsidR="00232078">
        <w:rPr>
          <w:rFonts w:ascii="Times New Roman" w:hAnsi="Times New Roman" w:cs="Times New Roman"/>
          <w:sz w:val="24"/>
          <w:szCs w:val="24"/>
        </w:rPr>
        <w:t xml:space="preserve"> document </w:t>
      </w:r>
      <w:r w:rsidR="00446021">
        <w:rPr>
          <w:rFonts w:ascii="Times New Roman" w:hAnsi="Times New Roman" w:cs="Times New Roman"/>
          <w:sz w:val="24"/>
          <w:szCs w:val="24"/>
        </w:rPr>
        <w:t xml:space="preserve">which requires </w:t>
      </w:r>
      <w:r w:rsidR="00232078">
        <w:rPr>
          <w:rFonts w:ascii="Times New Roman" w:hAnsi="Times New Roman" w:cs="Times New Roman"/>
          <w:sz w:val="24"/>
          <w:szCs w:val="24"/>
        </w:rPr>
        <w:t xml:space="preserve">the allocation of a first hearing date (eg Order 56 originating </w:t>
      </w:r>
      <w:r w:rsidR="00A3540C">
        <w:rPr>
          <w:rFonts w:ascii="Times New Roman" w:hAnsi="Times New Roman" w:cs="Times New Roman"/>
          <w:sz w:val="24"/>
          <w:szCs w:val="24"/>
        </w:rPr>
        <w:t>motion, summons</w:t>
      </w:r>
      <w:r w:rsidR="00232078">
        <w:rPr>
          <w:rFonts w:ascii="Times New Roman" w:hAnsi="Times New Roman" w:cs="Times New Roman"/>
          <w:sz w:val="24"/>
          <w:szCs w:val="24"/>
        </w:rPr>
        <w:t xml:space="preserve">, etc) should be filed </w:t>
      </w:r>
      <w:r w:rsidR="006809BE">
        <w:rPr>
          <w:rFonts w:ascii="Times New Roman" w:hAnsi="Times New Roman" w:cs="Times New Roman"/>
          <w:sz w:val="24"/>
          <w:szCs w:val="24"/>
        </w:rPr>
        <w:t>either:</w:t>
      </w:r>
    </w:p>
    <w:p w:rsidR="006809BE" w:rsidRDefault="006809BE" w:rsidP="0056242B">
      <w:pPr>
        <w:tabs>
          <w:tab w:val="left" w:pos="1440"/>
        </w:tabs>
        <w:spacing w:after="0"/>
        <w:jc w:val="both"/>
        <w:rPr>
          <w:rFonts w:ascii="Times New Roman" w:hAnsi="Times New Roman" w:cs="Times New Roman"/>
          <w:sz w:val="24"/>
          <w:szCs w:val="24"/>
        </w:rPr>
      </w:pPr>
    </w:p>
    <w:p w:rsidR="006809BE" w:rsidRDefault="00A517B4" w:rsidP="004E57F5">
      <w:pPr>
        <w:pStyle w:val="ListParagraph"/>
        <w:numPr>
          <w:ilvl w:val="0"/>
          <w:numId w:val="9"/>
        </w:numPr>
        <w:tabs>
          <w:tab w:val="left" w:pos="1440"/>
        </w:tabs>
        <w:spacing w:after="0"/>
        <w:jc w:val="both"/>
        <w:rPr>
          <w:rFonts w:ascii="Times New Roman" w:hAnsi="Times New Roman" w:cs="Times New Roman"/>
          <w:sz w:val="24"/>
          <w:szCs w:val="24"/>
        </w:rPr>
      </w:pPr>
      <w:r>
        <w:rPr>
          <w:rFonts w:ascii="Times New Roman" w:hAnsi="Times New Roman" w:cs="Times New Roman"/>
          <w:sz w:val="24"/>
          <w:szCs w:val="24"/>
        </w:rPr>
        <w:t xml:space="preserve">By </w:t>
      </w:r>
      <w:r w:rsidR="00DC159C">
        <w:rPr>
          <w:rFonts w:ascii="Times New Roman" w:hAnsi="Times New Roman" w:cs="Times New Roman"/>
          <w:sz w:val="24"/>
          <w:szCs w:val="24"/>
        </w:rPr>
        <w:t xml:space="preserve">efiling </w:t>
      </w:r>
      <w:r>
        <w:rPr>
          <w:rFonts w:ascii="Times New Roman" w:hAnsi="Times New Roman" w:cs="Times New Roman"/>
          <w:sz w:val="24"/>
          <w:szCs w:val="24"/>
        </w:rPr>
        <w:t xml:space="preserve">via Citec: </w:t>
      </w:r>
      <w:r w:rsidR="00BC21D2">
        <w:rPr>
          <w:rFonts w:ascii="Times New Roman" w:hAnsi="Times New Roman" w:cs="Times New Roman"/>
          <w:sz w:val="24"/>
          <w:szCs w:val="24"/>
        </w:rPr>
        <w:t>P</w:t>
      </w:r>
      <w:r>
        <w:rPr>
          <w:rFonts w:ascii="Times New Roman" w:hAnsi="Times New Roman" w:cs="Times New Roman"/>
          <w:sz w:val="24"/>
          <w:szCs w:val="24"/>
        </w:rPr>
        <w:t xml:space="preserve">re-approval of a hearing date is </w:t>
      </w:r>
      <w:r w:rsidRPr="004E57F5">
        <w:rPr>
          <w:rFonts w:ascii="Times New Roman" w:hAnsi="Times New Roman" w:cs="Times New Roman"/>
          <w:b/>
          <w:sz w:val="24"/>
          <w:szCs w:val="24"/>
        </w:rPr>
        <w:t>required</w:t>
      </w:r>
      <w:r>
        <w:rPr>
          <w:rFonts w:ascii="Times New Roman" w:hAnsi="Times New Roman" w:cs="Times New Roman"/>
          <w:sz w:val="24"/>
          <w:szCs w:val="24"/>
        </w:rPr>
        <w:t xml:space="preserve"> in order to file via Citec. In order to obtain a hearing date, the </w:t>
      </w:r>
      <w:r w:rsidR="00CE0AA6">
        <w:rPr>
          <w:rFonts w:ascii="Times New Roman" w:hAnsi="Times New Roman" w:cs="Times New Roman"/>
          <w:sz w:val="24"/>
          <w:szCs w:val="24"/>
        </w:rPr>
        <w:t xml:space="preserve">applicant </w:t>
      </w:r>
      <w:r>
        <w:rPr>
          <w:rFonts w:ascii="Times New Roman" w:hAnsi="Times New Roman" w:cs="Times New Roman"/>
          <w:sz w:val="24"/>
          <w:szCs w:val="24"/>
        </w:rPr>
        <w:t xml:space="preserve">should forward a completed </w:t>
      </w:r>
      <w:r w:rsidRPr="00D7429D">
        <w:rPr>
          <w:rFonts w:ascii="Times New Roman" w:hAnsi="Times New Roman" w:cs="Times New Roman"/>
          <w:sz w:val="24"/>
          <w:szCs w:val="24"/>
        </w:rPr>
        <w:t>“</w:t>
      </w:r>
      <w:r w:rsidR="00BC21D2">
        <w:rPr>
          <w:rFonts w:ascii="Times New Roman" w:hAnsi="Times New Roman" w:cs="Times New Roman"/>
          <w:sz w:val="24"/>
          <w:szCs w:val="24"/>
        </w:rPr>
        <w:t>Judicial Review and Appeals List</w:t>
      </w:r>
      <w:r>
        <w:rPr>
          <w:rFonts w:ascii="Times New Roman" w:hAnsi="Times New Roman" w:cs="Times New Roman"/>
          <w:sz w:val="24"/>
          <w:szCs w:val="24"/>
        </w:rPr>
        <w:t xml:space="preserve"> Hearing Date </w:t>
      </w:r>
      <w:r w:rsidRPr="00D7429D">
        <w:rPr>
          <w:rFonts w:ascii="Times New Roman" w:hAnsi="Times New Roman" w:cs="Times New Roman"/>
          <w:sz w:val="24"/>
          <w:szCs w:val="24"/>
        </w:rPr>
        <w:t>Information Form” (attached</w:t>
      </w:r>
      <w:r>
        <w:rPr>
          <w:rFonts w:ascii="Times New Roman" w:hAnsi="Times New Roman" w:cs="Times New Roman"/>
          <w:sz w:val="24"/>
          <w:szCs w:val="24"/>
        </w:rPr>
        <w:t>)</w:t>
      </w:r>
      <w:r w:rsidRPr="00D7429D">
        <w:rPr>
          <w:rFonts w:ascii="Times New Roman" w:hAnsi="Times New Roman" w:cs="Times New Roman"/>
          <w:sz w:val="24"/>
          <w:szCs w:val="24"/>
        </w:rPr>
        <w:t xml:space="preserve"> </w:t>
      </w:r>
      <w:r>
        <w:rPr>
          <w:rFonts w:ascii="Times New Roman" w:hAnsi="Times New Roman" w:cs="Times New Roman"/>
          <w:sz w:val="24"/>
          <w:szCs w:val="24"/>
        </w:rPr>
        <w:t xml:space="preserve">together with a draft of the proposed document requiring a first hearing date </w:t>
      </w:r>
      <w:r w:rsidRPr="00D7429D">
        <w:rPr>
          <w:rFonts w:ascii="Times New Roman" w:hAnsi="Times New Roman" w:cs="Times New Roman"/>
          <w:sz w:val="24"/>
          <w:szCs w:val="24"/>
        </w:rPr>
        <w:t xml:space="preserve">via email to </w:t>
      </w:r>
      <w:hyperlink r:id="rId18" w:history="1">
        <w:r w:rsidRPr="0096011C">
          <w:rPr>
            <w:rStyle w:val="Hyperlink"/>
            <w:rFonts w:ascii="Times New Roman" w:hAnsi="Times New Roman" w:cs="Times New Roman"/>
            <w:sz w:val="24"/>
            <w:szCs w:val="24"/>
          </w:rPr>
          <w:t>judicialreview@supcourt.vic.gov.au</w:t>
        </w:r>
      </w:hyperlink>
      <w:r w:rsidRPr="00C61E17">
        <w:rPr>
          <w:rFonts w:ascii="Times New Roman" w:hAnsi="Times New Roman" w:cs="Times New Roman"/>
          <w:sz w:val="24"/>
          <w:szCs w:val="24"/>
        </w:rPr>
        <w:t>. The applicant will be</w:t>
      </w:r>
      <w:r w:rsidRPr="00D7429D">
        <w:rPr>
          <w:rFonts w:ascii="Times New Roman" w:hAnsi="Times New Roman" w:cs="Times New Roman"/>
          <w:sz w:val="24"/>
          <w:szCs w:val="24"/>
        </w:rPr>
        <w:t xml:space="preserve"> advised by email of the return date. The </w:t>
      </w:r>
      <w:r w:rsidR="00FD5622">
        <w:rPr>
          <w:rFonts w:ascii="Times New Roman" w:hAnsi="Times New Roman" w:cs="Times New Roman"/>
          <w:sz w:val="24"/>
          <w:szCs w:val="24"/>
        </w:rPr>
        <w:t xml:space="preserve">document </w:t>
      </w:r>
      <w:r w:rsidRPr="00D7429D">
        <w:rPr>
          <w:rFonts w:ascii="Times New Roman" w:hAnsi="Times New Roman" w:cs="Times New Roman"/>
          <w:sz w:val="24"/>
          <w:szCs w:val="24"/>
        </w:rPr>
        <w:t>should be filed within 48 hours of this advice or the return date may not be guaranteed.</w:t>
      </w:r>
      <w:r>
        <w:rPr>
          <w:rFonts w:ascii="Times New Roman" w:hAnsi="Times New Roman" w:cs="Times New Roman"/>
          <w:sz w:val="24"/>
          <w:szCs w:val="24"/>
        </w:rPr>
        <w:t xml:space="preserve"> A copy of </w:t>
      </w:r>
      <w:r w:rsidR="00CE0AA6">
        <w:rPr>
          <w:rFonts w:ascii="Times New Roman" w:hAnsi="Times New Roman" w:cs="Times New Roman"/>
          <w:sz w:val="24"/>
          <w:szCs w:val="24"/>
        </w:rPr>
        <w:t xml:space="preserve">the </w:t>
      </w:r>
      <w:r>
        <w:rPr>
          <w:rFonts w:ascii="Times New Roman" w:hAnsi="Times New Roman" w:cs="Times New Roman"/>
          <w:sz w:val="24"/>
          <w:szCs w:val="24"/>
        </w:rPr>
        <w:t xml:space="preserve">advice should be provided when filing. </w:t>
      </w:r>
    </w:p>
    <w:p w:rsidR="006809BE" w:rsidRDefault="00B3056E" w:rsidP="004E57F5">
      <w:pPr>
        <w:tabs>
          <w:tab w:val="left" w:pos="1440"/>
        </w:tabs>
        <w:spacing w:after="0"/>
        <w:ind w:firstLine="720"/>
        <w:jc w:val="both"/>
        <w:rPr>
          <w:rFonts w:ascii="Times New Roman" w:hAnsi="Times New Roman" w:cs="Times New Roman"/>
          <w:sz w:val="24"/>
          <w:szCs w:val="24"/>
        </w:rPr>
      </w:pPr>
      <w:r>
        <w:rPr>
          <w:rFonts w:ascii="Times New Roman" w:hAnsi="Times New Roman" w:cs="Times New Roman"/>
          <w:sz w:val="24"/>
          <w:szCs w:val="24"/>
        </w:rPr>
        <w:t>o</w:t>
      </w:r>
      <w:r w:rsidR="006809BE">
        <w:rPr>
          <w:rFonts w:ascii="Times New Roman" w:hAnsi="Times New Roman" w:cs="Times New Roman"/>
          <w:sz w:val="24"/>
          <w:szCs w:val="24"/>
        </w:rPr>
        <w:t xml:space="preserve">r: </w:t>
      </w:r>
      <w:r w:rsidR="006809BE">
        <w:rPr>
          <w:rFonts w:ascii="Times New Roman" w:hAnsi="Times New Roman" w:cs="Times New Roman"/>
          <w:sz w:val="24"/>
          <w:szCs w:val="24"/>
        </w:rPr>
        <w:tab/>
      </w:r>
    </w:p>
    <w:p w:rsidR="006809BE" w:rsidRPr="004E57F5" w:rsidRDefault="00A517B4" w:rsidP="004E57F5">
      <w:pPr>
        <w:pStyle w:val="ListParagraph"/>
        <w:numPr>
          <w:ilvl w:val="0"/>
          <w:numId w:val="9"/>
        </w:numPr>
        <w:tabs>
          <w:tab w:val="left" w:pos="1440"/>
        </w:tabs>
        <w:spacing w:after="0"/>
        <w:jc w:val="both"/>
        <w:rPr>
          <w:rFonts w:ascii="Times New Roman" w:hAnsi="Times New Roman" w:cs="Times New Roman"/>
          <w:sz w:val="24"/>
          <w:szCs w:val="24"/>
        </w:rPr>
      </w:pPr>
      <w:r w:rsidRPr="006D1DA1">
        <w:rPr>
          <w:rFonts w:ascii="Times New Roman" w:hAnsi="Times New Roman" w:cs="Times New Roman"/>
          <w:sz w:val="24"/>
          <w:szCs w:val="24"/>
        </w:rPr>
        <w:t xml:space="preserve">In person at the Principal Registry: </w:t>
      </w:r>
      <w:r w:rsidR="00BC21D2">
        <w:rPr>
          <w:rFonts w:ascii="Times New Roman" w:hAnsi="Times New Roman" w:cs="Times New Roman"/>
          <w:sz w:val="24"/>
          <w:szCs w:val="24"/>
        </w:rPr>
        <w:t xml:space="preserve">A party may obtain pre-approval of a hearing date by following the steps in (1) above. </w:t>
      </w:r>
      <w:r w:rsidR="00496E1D">
        <w:rPr>
          <w:rFonts w:ascii="Times New Roman" w:hAnsi="Times New Roman" w:cs="Times New Roman"/>
          <w:sz w:val="24"/>
          <w:szCs w:val="24"/>
        </w:rPr>
        <w:t>Alternatively</w:t>
      </w:r>
      <w:r w:rsidR="00DF7BFC">
        <w:rPr>
          <w:rFonts w:ascii="Times New Roman" w:hAnsi="Times New Roman" w:cs="Times New Roman"/>
          <w:sz w:val="24"/>
          <w:szCs w:val="24"/>
        </w:rPr>
        <w:t xml:space="preserve">, a document requiring allocation of a first hearing date </w:t>
      </w:r>
      <w:r w:rsidR="00B3056E">
        <w:rPr>
          <w:rFonts w:ascii="Times New Roman" w:hAnsi="Times New Roman" w:cs="Times New Roman"/>
          <w:sz w:val="24"/>
          <w:szCs w:val="24"/>
        </w:rPr>
        <w:t xml:space="preserve">may </w:t>
      </w:r>
      <w:r w:rsidR="00DF7BFC">
        <w:rPr>
          <w:rFonts w:ascii="Times New Roman" w:hAnsi="Times New Roman" w:cs="Times New Roman"/>
          <w:sz w:val="24"/>
          <w:szCs w:val="24"/>
        </w:rPr>
        <w:t xml:space="preserve">also </w:t>
      </w:r>
      <w:r w:rsidR="00B3056E">
        <w:rPr>
          <w:rFonts w:ascii="Times New Roman" w:hAnsi="Times New Roman" w:cs="Times New Roman"/>
          <w:sz w:val="24"/>
          <w:szCs w:val="24"/>
        </w:rPr>
        <w:t xml:space="preserve">be </w:t>
      </w:r>
      <w:r w:rsidR="00DF7BFC">
        <w:rPr>
          <w:rFonts w:ascii="Times New Roman" w:hAnsi="Times New Roman" w:cs="Times New Roman"/>
          <w:sz w:val="24"/>
          <w:szCs w:val="24"/>
        </w:rPr>
        <w:t xml:space="preserve">accepted for filing </w:t>
      </w:r>
      <w:r w:rsidR="00B3056E">
        <w:rPr>
          <w:rFonts w:ascii="Times New Roman" w:hAnsi="Times New Roman" w:cs="Times New Roman"/>
          <w:sz w:val="24"/>
          <w:szCs w:val="24"/>
        </w:rPr>
        <w:t xml:space="preserve">without pre-approval. </w:t>
      </w:r>
      <w:r w:rsidR="00496E1D">
        <w:rPr>
          <w:rFonts w:ascii="Times New Roman" w:hAnsi="Times New Roman" w:cs="Times New Roman"/>
          <w:sz w:val="24"/>
          <w:szCs w:val="24"/>
        </w:rPr>
        <w:t>Where pre-approval has not been sought</w:t>
      </w:r>
      <w:r w:rsidR="00DF7BFC">
        <w:rPr>
          <w:rFonts w:ascii="Times New Roman" w:hAnsi="Times New Roman" w:cs="Times New Roman"/>
          <w:sz w:val="24"/>
          <w:szCs w:val="24"/>
        </w:rPr>
        <w:t xml:space="preserve">, </w:t>
      </w:r>
      <w:r w:rsidR="00870A5E">
        <w:rPr>
          <w:rFonts w:ascii="Times New Roman" w:hAnsi="Times New Roman" w:cs="Times New Roman"/>
          <w:sz w:val="24"/>
          <w:szCs w:val="24"/>
        </w:rPr>
        <w:t xml:space="preserve">the initiating party will be required to complete the “Judicial Review and Appeals List Hearing Date </w:t>
      </w:r>
      <w:r w:rsidR="00870A5E" w:rsidRPr="00D7429D">
        <w:rPr>
          <w:rFonts w:ascii="Times New Roman" w:hAnsi="Times New Roman" w:cs="Times New Roman"/>
          <w:sz w:val="24"/>
          <w:szCs w:val="24"/>
        </w:rPr>
        <w:t>Information Form</w:t>
      </w:r>
      <w:r w:rsidR="00870A5E">
        <w:rPr>
          <w:rFonts w:ascii="Times New Roman" w:hAnsi="Times New Roman" w:cs="Times New Roman"/>
          <w:sz w:val="24"/>
          <w:szCs w:val="24"/>
        </w:rPr>
        <w:t>”</w:t>
      </w:r>
      <w:r w:rsidR="00496E1D">
        <w:rPr>
          <w:rFonts w:ascii="Times New Roman" w:hAnsi="Times New Roman" w:cs="Times New Roman"/>
          <w:sz w:val="24"/>
          <w:szCs w:val="24"/>
        </w:rPr>
        <w:t xml:space="preserve"> </w:t>
      </w:r>
      <w:r w:rsidR="005F286E">
        <w:rPr>
          <w:rFonts w:ascii="Times New Roman" w:hAnsi="Times New Roman" w:cs="Times New Roman"/>
          <w:sz w:val="24"/>
          <w:szCs w:val="24"/>
        </w:rPr>
        <w:t>at the time of</w:t>
      </w:r>
      <w:r w:rsidR="00496E1D">
        <w:rPr>
          <w:rFonts w:ascii="Times New Roman" w:hAnsi="Times New Roman" w:cs="Times New Roman"/>
          <w:sz w:val="24"/>
          <w:szCs w:val="24"/>
        </w:rPr>
        <w:t xml:space="preserve"> filing</w:t>
      </w:r>
      <w:r w:rsidR="00870A5E">
        <w:rPr>
          <w:rFonts w:ascii="Times New Roman" w:hAnsi="Times New Roman" w:cs="Times New Roman"/>
          <w:sz w:val="24"/>
          <w:szCs w:val="24"/>
        </w:rPr>
        <w:t>. A</w:t>
      </w:r>
      <w:r w:rsidRPr="006D1DA1">
        <w:rPr>
          <w:rFonts w:ascii="Times New Roman" w:hAnsi="Times New Roman" w:cs="Times New Roman"/>
          <w:sz w:val="24"/>
          <w:szCs w:val="24"/>
        </w:rPr>
        <w:t xml:space="preserve"> date for the first hearing will be allocated after review of the initiating party’s documents by a registry lawyer.</w:t>
      </w:r>
      <w:r w:rsidRPr="006D1DA1">
        <w:rPr>
          <w:rFonts w:ascii="Times New Roman" w:hAnsi="Times New Roman" w:cs="Times New Roman"/>
          <w:i/>
          <w:sz w:val="24"/>
          <w:szCs w:val="24"/>
        </w:rPr>
        <w:t xml:space="preserve"> </w:t>
      </w:r>
      <w:r w:rsidR="005C04BB">
        <w:rPr>
          <w:rFonts w:ascii="Times New Roman" w:hAnsi="Times New Roman" w:cs="Times New Roman"/>
          <w:sz w:val="24"/>
          <w:szCs w:val="24"/>
        </w:rPr>
        <w:t>If the documents are in order, c</w:t>
      </w:r>
      <w:r w:rsidR="005C04BB" w:rsidRPr="006D1DA1">
        <w:rPr>
          <w:rFonts w:ascii="Times New Roman" w:hAnsi="Times New Roman" w:cs="Times New Roman"/>
          <w:sz w:val="24"/>
          <w:szCs w:val="24"/>
        </w:rPr>
        <w:t xml:space="preserve">opies </w:t>
      </w:r>
      <w:r w:rsidRPr="006D1DA1">
        <w:rPr>
          <w:rFonts w:ascii="Times New Roman" w:hAnsi="Times New Roman" w:cs="Times New Roman"/>
          <w:sz w:val="24"/>
          <w:szCs w:val="24"/>
        </w:rPr>
        <w:t xml:space="preserve">of sealed documents for service will be ready to be returned to the initiating party </w:t>
      </w:r>
      <w:r w:rsidR="005C04BB">
        <w:rPr>
          <w:rFonts w:ascii="Times New Roman" w:hAnsi="Times New Roman" w:cs="Times New Roman"/>
          <w:sz w:val="24"/>
          <w:szCs w:val="24"/>
        </w:rPr>
        <w:t>on the following business day</w:t>
      </w:r>
      <w:r w:rsidRPr="006D1DA1">
        <w:rPr>
          <w:rFonts w:ascii="Times New Roman" w:hAnsi="Times New Roman" w:cs="Times New Roman"/>
          <w:sz w:val="24"/>
          <w:szCs w:val="24"/>
        </w:rPr>
        <w:t>.</w:t>
      </w:r>
      <w:r w:rsidR="00CE0AA6" w:rsidRPr="006D1DA1">
        <w:rPr>
          <w:rFonts w:ascii="Times New Roman" w:hAnsi="Times New Roman" w:cs="Times New Roman"/>
          <w:sz w:val="24"/>
          <w:szCs w:val="24"/>
        </w:rPr>
        <w:t xml:space="preserve"> </w:t>
      </w:r>
    </w:p>
    <w:p w:rsidR="006809BE" w:rsidRDefault="006809BE" w:rsidP="0056242B">
      <w:pPr>
        <w:tabs>
          <w:tab w:val="left" w:pos="1440"/>
        </w:tabs>
        <w:spacing w:after="0"/>
        <w:jc w:val="both"/>
        <w:rPr>
          <w:rFonts w:ascii="Times New Roman" w:hAnsi="Times New Roman" w:cs="Times New Roman"/>
          <w:sz w:val="24"/>
          <w:szCs w:val="24"/>
        </w:rPr>
      </w:pPr>
    </w:p>
    <w:p w:rsidR="00DC168B" w:rsidRDefault="00F35B91" w:rsidP="00F35B91">
      <w:pPr>
        <w:rPr>
          <w:rFonts w:ascii="Times New Roman" w:hAnsi="Times New Roman" w:cs="Times New Roman"/>
          <w:sz w:val="24"/>
          <w:szCs w:val="24"/>
        </w:rPr>
      </w:pPr>
      <w:r>
        <w:rPr>
          <w:rFonts w:ascii="Times New Roman" w:hAnsi="Times New Roman" w:cs="Times New Roman"/>
          <w:sz w:val="24"/>
          <w:szCs w:val="24"/>
        </w:rPr>
        <w:t xml:space="preserve">  </w:t>
      </w:r>
    </w:p>
    <w:p w:rsidR="0028493B" w:rsidRPr="004E57F5" w:rsidRDefault="0028493B" w:rsidP="004E57F5">
      <w:pPr>
        <w:pStyle w:val="ListParagraph"/>
        <w:numPr>
          <w:ilvl w:val="0"/>
          <w:numId w:val="11"/>
        </w:numPr>
        <w:rPr>
          <w:rFonts w:ascii="Times New Roman" w:hAnsi="Times New Roman" w:cs="Times New Roman"/>
          <w:b/>
          <w:sz w:val="24"/>
          <w:szCs w:val="24"/>
        </w:rPr>
      </w:pPr>
      <w:r w:rsidRPr="004E57F5">
        <w:rPr>
          <w:rFonts w:ascii="Times New Roman" w:hAnsi="Times New Roman" w:cs="Times New Roman"/>
          <w:b/>
          <w:sz w:val="24"/>
          <w:szCs w:val="24"/>
        </w:rPr>
        <w:t>Interlocutory applications</w:t>
      </w:r>
    </w:p>
    <w:p w:rsidR="00F93F23" w:rsidRDefault="00F93F23" w:rsidP="004E57F5">
      <w:pPr>
        <w:jc w:val="both"/>
        <w:rPr>
          <w:rFonts w:ascii="Times New Roman" w:hAnsi="Times New Roman" w:cs="Times New Roman"/>
          <w:sz w:val="24"/>
          <w:szCs w:val="24"/>
        </w:rPr>
      </w:pPr>
      <w:r w:rsidRPr="004E57F5">
        <w:rPr>
          <w:rFonts w:ascii="Times New Roman" w:hAnsi="Times New Roman" w:cs="Times New Roman"/>
          <w:sz w:val="24"/>
          <w:szCs w:val="24"/>
        </w:rPr>
        <w:t xml:space="preserve">Prior to filing a summons, a party seeking to arrange the hearing of an </w:t>
      </w:r>
      <w:r w:rsidR="00951FAA">
        <w:rPr>
          <w:rFonts w:ascii="Times New Roman" w:hAnsi="Times New Roman" w:cs="Times New Roman"/>
          <w:sz w:val="24"/>
          <w:szCs w:val="24"/>
        </w:rPr>
        <w:t xml:space="preserve">interlocutory </w:t>
      </w:r>
      <w:r w:rsidRPr="004E57F5">
        <w:rPr>
          <w:rFonts w:ascii="Times New Roman" w:hAnsi="Times New Roman" w:cs="Times New Roman"/>
          <w:sz w:val="24"/>
          <w:szCs w:val="24"/>
        </w:rPr>
        <w:t xml:space="preserve">application must obtain a return date </w:t>
      </w:r>
      <w:r w:rsidR="0012347D">
        <w:rPr>
          <w:rFonts w:ascii="Times New Roman" w:hAnsi="Times New Roman" w:cs="Times New Roman"/>
          <w:sz w:val="24"/>
          <w:szCs w:val="24"/>
        </w:rPr>
        <w:t xml:space="preserve">by </w:t>
      </w:r>
      <w:r w:rsidR="00951FAA">
        <w:rPr>
          <w:rFonts w:ascii="Times New Roman" w:hAnsi="Times New Roman" w:cs="Times New Roman"/>
          <w:sz w:val="24"/>
          <w:szCs w:val="24"/>
        </w:rPr>
        <w:t>forwarding a completed</w:t>
      </w:r>
      <w:r w:rsidRPr="004E57F5">
        <w:rPr>
          <w:rFonts w:ascii="Times New Roman" w:hAnsi="Times New Roman" w:cs="Times New Roman"/>
          <w:sz w:val="24"/>
          <w:szCs w:val="24"/>
        </w:rPr>
        <w:t xml:space="preserve"> “</w:t>
      </w:r>
      <w:r w:rsidR="00BC21D2">
        <w:rPr>
          <w:rFonts w:ascii="Times New Roman" w:hAnsi="Times New Roman" w:cs="Times New Roman"/>
          <w:sz w:val="24"/>
          <w:szCs w:val="24"/>
        </w:rPr>
        <w:t xml:space="preserve">Judicial Review and Appeals List </w:t>
      </w:r>
      <w:r w:rsidR="0033413D">
        <w:rPr>
          <w:rFonts w:ascii="Times New Roman" w:hAnsi="Times New Roman" w:cs="Times New Roman"/>
          <w:sz w:val="24"/>
          <w:szCs w:val="24"/>
        </w:rPr>
        <w:t xml:space="preserve">Hearing Date </w:t>
      </w:r>
      <w:r w:rsidR="0033413D" w:rsidRPr="00D7429D">
        <w:rPr>
          <w:rFonts w:ascii="Times New Roman" w:hAnsi="Times New Roman" w:cs="Times New Roman"/>
          <w:sz w:val="24"/>
          <w:szCs w:val="24"/>
        </w:rPr>
        <w:t>Information Form</w:t>
      </w:r>
      <w:r w:rsidRPr="004E57F5">
        <w:rPr>
          <w:rFonts w:ascii="Times New Roman" w:hAnsi="Times New Roman" w:cs="Times New Roman"/>
          <w:sz w:val="24"/>
          <w:szCs w:val="24"/>
        </w:rPr>
        <w:t>” (attached</w:t>
      </w:r>
      <w:r>
        <w:rPr>
          <w:rFonts w:ascii="Times New Roman" w:hAnsi="Times New Roman" w:cs="Times New Roman"/>
          <w:sz w:val="24"/>
          <w:szCs w:val="24"/>
        </w:rPr>
        <w:t>)</w:t>
      </w:r>
      <w:r w:rsidRPr="004E57F5">
        <w:rPr>
          <w:rFonts w:ascii="Times New Roman" w:hAnsi="Times New Roman" w:cs="Times New Roman"/>
          <w:sz w:val="24"/>
          <w:szCs w:val="24"/>
        </w:rPr>
        <w:t xml:space="preserve"> </w:t>
      </w:r>
      <w:r w:rsidR="008A0888">
        <w:rPr>
          <w:rFonts w:ascii="Times New Roman" w:hAnsi="Times New Roman" w:cs="Times New Roman"/>
          <w:sz w:val="24"/>
          <w:szCs w:val="24"/>
        </w:rPr>
        <w:t xml:space="preserve">together with a draft of the proposed summons </w:t>
      </w:r>
      <w:r w:rsidRPr="004E57F5">
        <w:rPr>
          <w:rFonts w:ascii="Times New Roman" w:hAnsi="Times New Roman" w:cs="Times New Roman"/>
          <w:sz w:val="24"/>
          <w:szCs w:val="24"/>
        </w:rPr>
        <w:t xml:space="preserve">via email to </w:t>
      </w:r>
      <w:hyperlink r:id="rId19" w:history="1">
        <w:r w:rsidR="00C5230C" w:rsidRPr="0096011C">
          <w:rPr>
            <w:rStyle w:val="Hyperlink"/>
            <w:rFonts w:ascii="Times New Roman" w:hAnsi="Times New Roman" w:cs="Times New Roman"/>
            <w:sz w:val="24"/>
            <w:szCs w:val="24"/>
          </w:rPr>
          <w:t>judicialreview@supcourt.</w:t>
        </w:r>
        <w:r w:rsidR="00C5230C" w:rsidRPr="004E57F5">
          <w:rPr>
            <w:rStyle w:val="Hyperlink"/>
            <w:rFonts w:ascii="Times New Roman" w:hAnsi="Times New Roman" w:cs="Times New Roman"/>
            <w:sz w:val="24"/>
            <w:szCs w:val="24"/>
          </w:rPr>
          <w:t>vic.gov.au</w:t>
        </w:r>
      </w:hyperlink>
      <w:r w:rsidR="00C61E17" w:rsidRPr="00C61E17">
        <w:rPr>
          <w:rFonts w:ascii="Times New Roman" w:hAnsi="Times New Roman" w:cs="Times New Roman"/>
          <w:sz w:val="24"/>
          <w:szCs w:val="24"/>
        </w:rPr>
        <w:t>. The applicant will be</w:t>
      </w:r>
      <w:r w:rsidRPr="004E57F5">
        <w:rPr>
          <w:rFonts w:ascii="Times New Roman" w:hAnsi="Times New Roman" w:cs="Times New Roman"/>
          <w:sz w:val="24"/>
          <w:szCs w:val="24"/>
        </w:rPr>
        <w:t xml:space="preserve"> advised by email of the return date. The summons should be filed</w:t>
      </w:r>
      <w:r w:rsidR="00DC159C">
        <w:rPr>
          <w:rFonts w:ascii="Times New Roman" w:hAnsi="Times New Roman" w:cs="Times New Roman"/>
          <w:sz w:val="24"/>
          <w:szCs w:val="24"/>
        </w:rPr>
        <w:t>, in person or via efiling,</w:t>
      </w:r>
      <w:r w:rsidRPr="004E57F5">
        <w:rPr>
          <w:rFonts w:ascii="Times New Roman" w:hAnsi="Times New Roman" w:cs="Times New Roman"/>
          <w:sz w:val="24"/>
          <w:szCs w:val="24"/>
        </w:rPr>
        <w:t xml:space="preserve"> within 48 hours of this advice or the return date may not be guaranteed.</w:t>
      </w:r>
      <w:r>
        <w:rPr>
          <w:rFonts w:ascii="Times New Roman" w:hAnsi="Times New Roman" w:cs="Times New Roman"/>
          <w:sz w:val="24"/>
          <w:szCs w:val="24"/>
        </w:rPr>
        <w:t xml:space="preserve"> </w:t>
      </w:r>
      <w:r w:rsidR="00C61E17">
        <w:rPr>
          <w:rFonts w:ascii="Times New Roman" w:hAnsi="Times New Roman" w:cs="Times New Roman"/>
          <w:sz w:val="24"/>
          <w:szCs w:val="24"/>
        </w:rPr>
        <w:t>A copy of this advice should be provided to Principal Registry when filing the summons.</w:t>
      </w:r>
    </w:p>
    <w:p w:rsidR="006F24E7" w:rsidRPr="006F24E7" w:rsidRDefault="006F24E7" w:rsidP="006F24E7">
      <w:pPr>
        <w:tabs>
          <w:tab w:val="left" w:pos="1440"/>
        </w:tabs>
        <w:spacing w:after="0"/>
        <w:jc w:val="both"/>
        <w:rPr>
          <w:rFonts w:ascii="Times New Roman" w:hAnsi="Times New Roman" w:cs="Times New Roman"/>
          <w:sz w:val="24"/>
          <w:szCs w:val="24"/>
        </w:rPr>
      </w:pPr>
    </w:p>
    <w:p w:rsidR="00CB443F" w:rsidRPr="004E57F5" w:rsidRDefault="00CB443F" w:rsidP="004E57F5">
      <w:pPr>
        <w:pStyle w:val="ListParagraph"/>
        <w:numPr>
          <w:ilvl w:val="0"/>
          <w:numId w:val="11"/>
        </w:numPr>
        <w:rPr>
          <w:rFonts w:ascii="Times New Roman" w:hAnsi="Times New Roman" w:cs="Times New Roman"/>
          <w:b/>
          <w:sz w:val="24"/>
          <w:szCs w:val="24"/>
        </w:rPr>
      </w:pPr>
      <w:r w:rsidRPr="004E57F5">
        <w:rPr>
          <w:rFonts w:ascii="Times New Roman" w:hAnsi="Times New Roman" w:cs="Times New Roman"/>
          <w:b/>
          <w:sz w:val="24"/>
          <w:szCs w:val="24"/>
        </w:rPr>
        <w:t>Further information</w:t>
      </w:r>
    </w:p>
    <w:p w:rsidR="00CB443F" w:rsidRPr="006F24E7" w:rsidRDefault="00CB443F" w:rsidP="006F24E7">
      <w:pPr>
        <w:tabs>
          <w:tab w:val="left" w:pos="1440"/>
        </w:tabs>
        <w:spacing w:after="0"/>
        <w:jc w:val="both"/>
        <w:rPr>
          <w:rFonts w:ascii="Times New Roman" w:hAnsi="Times New Roman" w:cs="Times New Roman"/>
          <w:sz w:val="24"/>
          <w:szCs w:val="24"/>
        </w:rPr>
      </w:pPr>
    </w:p>
    <w:p w:rsidR="006F24E7" w:rsidRDefault="006F24E7" w:rsidP="006F24E7">
      <w:pPr>
        <w:tabs>
          <w:tab w:val="left" w:pos="1440"/>
        </w:tabs>
        <w:spacing w:after="0"/>
        <w:jc w:val="both"/>
        <w:rPr>
          <w:rFonts w:ascii="Times New Roman" w:hAnsi="Times New Roman" w:cs="Times New Roman"/>
          <w:sz w:val="24"/>
          <w:szCs w:val="24"/>
        </w:rPr>
      </w:pPr>
      <w:r w:rsidRPr="006F24E7">
        <w:rPr>
          <w:rFonts w:ascii="Times New Roman" w:hAnsi="Times New Roman" w:cs="Times New Roman"/>
          <w:sz w:val="24"/>
          <w:szCs w:val="24"/>
        </w:rPr>
        <w:t xml:space="preserve">The Court will be providing information to the profession and other interested groups in the </w:t>
      </w:r>
      <w:r w:rsidR="008A0888">
        <w:rPr>
          <w:rFonts w:ascii="Times New Roman" w:hAnsi="Times New Roman" w:cs="Times New Roman"/>
          <w:sz w:val="24"/>
          <w:szCs w:val="24"/>
        </w:rPr>
        <w:t>near future</w:t>
      </w:r>
      <w:r w:rsidRPr="006F24E7">
        <w:rPr>
          <w:rFonts w:ascii="Times New Roman" w:hAnsi="Times New Roman" w:cs="Times New Roman"/>
          <w:sz w:val="24"/>
          <w:szCs w:val="24"/>
        </w:rPr>
        <w:t>.</w:t>
      </w:r>
      <w:r w:rsidR="00F727B7">
        <w:rPr>
          <w:rFonts w:ascii="Times New Roman" w:hAnsi="Times New Roman" w:cs="Times New Roman"/>
          <w:sz w:val="24"/>
          <w:szCs w:val="24"/>
        </w:rPr>
        <w:t xml:space="preserve"> The Court will also seek feedback with a view to making </w:t>
      </w:r>
      <w:r w:rsidR="00F403B8">
        <w:rPr>
          <w:rFonts w:ascii="Times New Roman" w:hAnsi="Times New Roman" w:cs="Times New Roman"/>
          <w:sz w:val="24"/>
          <w:szCs w:val="24"/>
        </w:rPr>
        <w:t xml:space="preserve">appropriate </w:t>
      </w:r>
      <w:r w:rsidR="00F727B7">
        <w:rPr>
          <w:rFonts w:ascii="Times New Roman" w:hAnsi="Times New Roman" w:cs="Times New Roman"/>
          <w:sz w:val="24"/>
          <w:szCs w:val="24"/>
        </w:rPr>
        <w:t xml:space="preserve">amendments to the Rules of Court and Practice Notes. </w:t>
      </w:r>
      <w:r w:rsidRPr="006F24E7">
        <w:rPr>
          <w:rFonts w:ascii="Times New Roman" w:hAnsi="Times New Roman" w:cs="Times New Roman"/>
          <w:sz w:val="24"/>
          <w:szCs w:val="24"/>
        </w:rPr>
        <w:t xml:space="preserve">If you require </w:t>
      </w:r>
      <w:r w:rsidR="00FF6AB3">
        <w:rPr>
          <w:rFonts w:ascii="Times New Roman" w:hAnsi="Times New Roman" w:cs="Times New Roman"/>
          <w:sz w:val="24"/>
          <w:szCs w:val="24"/>
        </w:rPr>
        <w:t xml:space="preserve">additional </w:t>
      </w:r>
      <w:r w:rsidRPr="006F24E7">
        <w:rPr>
          <w:rFonts w:ascii="Times New Roman" w:hAnsi="Times New Roman" w:cs="Times New Roman"/>
          <w:sz w:val="24"/>
          <w:szCs w:val="24"/>
        </w:rPr>
        <w:t xml:space="preserve">information, please email your query to </w:t>
      </w:r>
      <w:hyperlink r:id="rId20" w:history="1">
        <w:r w:rsidRPr="00B81437">
          <w:rPr>
            <w:rStyle w:val="Hyperlink"/>
            <w:rFonts w:ascii="Times New Roman" w:hAnsi="Times New Roman" w:cs="Times New Roman"/>
            <w:sz w:val="24"/>
            <w:szCs w:val="24"/>
          </w:rPr>
          <w:t>judicialreview@supcourt.vic.gov.au</w:t>
        </w:r>
      </w:hyperlink>
      <w:r w:rsidRPr="006F24E7">
        <w:rPr>
          <w:rFonts w:ascii="Times New Roman" w:hAnsi="Times New Roman" w:cs="Times New Roman"/>
          <w:sz w:val="24"/>
          <w:szCs w:val="24"/>
        </w:rPr>
        <w:t>.</w:t>
      </w:r>
    </w:p>
    <w:p w:rsidR="00054B4C" w:rsidRDefault="00054B4C" w:rsidP="00131D76">
      <w:pPr>
        <w:tabs>
          <w:tab w:val="left" w:pos="1440"/>
        </w:tabs>
        <w:spacing w:after="0"/>
        <w:jc w:val="both"/>
        <w:rPr>
          <w:rFonts w:ascii="Times New Roman" w:hAnsi="Times New Roman" w:cs="Times New Roman"/>
          <w:sz w:val="24"/>
          <w:szCs w:val="24"/>
        </w:rPr>
      </w:pPr>
    </w:p>
    <w:p w:rsidR="00DC159C" w:rsidRDefault="00DC159C" w:rsidP="0067586E">
      <w:pPr>
        <w:spacing w:after="0"/>
        <w:jc w:val="both"/>
        <w:rPr>
          <w:rFonts w:ascii="Times New Roman" w:hAnsi="Times New Roman" w:cs="Times New Roman"/>
          <w:bCs/>
          <w:noProof/>
          <w:sz w:val="24"/>
          <w:szCs w:val="24"/>
        </w:rPr>
      </w:pPr>
    </w:p>
    <w:p w:rsidR="00DC159C" w:rsidRDefault="00DC159C" w:rsidP="0067586E">
      <w:pPr>
        <w:spacing w:after="0"/>
        <w:jc w:val="both"/>
        <w:rPr>
          <w:rFonts w:ascii="Times New Roman" w:hAnsi="Times New Roman" w:cs="Times New Roman"/>
          <w:bCs/>
          <w:noProof/>
          <w:sz w:val="24"/>
          <w:szCs w:val="24"/>
        </w:rPr>
      </w:pPr>
    </w:p>
    <w:p w:rsidR="0067586E" w:rsidRPr="00DC159C" w:rsidRDefault="00DC159C" w:rsidP="00DC159C">
      <w:pPr>
        <w:spacing w:after="0"/>
        <w:jc w:val="right"/>
        <w:rPr>
          <w:rFonts w:ascii="Times New Roman" w:hAnsi="Times New Roman" w:cs="Times New Roman"/>
          <w:bCs/>
          <w:noProof/>
          <w:sz w:val="24"/>
          <w:szCs w:val="24"/>
        </w:rPr>
      </w:pPr>
      <w:r w:rsidRPr="00DC159C">
        <w:rPr>
          <w:rFonts w:ascii="Times New Roman" w:hAnsi="Times New Roman" w:cs="Times New Roman"/>
          <w:bCs/>
          <w:noProof/>
          <w:sz w:val="24"/>
          <w:szCs w:val="24"/>
        </w:rPr>
        <w:t>Benjamin Russo</w:t>
      </w:r>
    </w:p>
    <w:p w:rsidR="0067586E" w:rsidRPr="00DC159C" w:rsidRDefault="00DC159C" w:rsidP="00DC159C">
      <w:pPr>
        <w:spacing w:after="0"/>
        <w:jc w:val="right"/>
        <w:rPr>
          <w:rFonts w:ascii="Times New Roman" w:hAnsi="Times New Roman" w:cs="Times New Roman"/>
          <w:bCs/>
          <w:noProof/>
          <w:sz w:val="24"/>
          <w:szCs w:val="24"/>
        </w:rPr>
      </w:pPr>
      <w:r w:rsidRPr="00DC159C">
        <w:rPr>
          <w:rFonts w:ascii="Times New Roman" w:hAnsi="Times New Roman" w:cs="Times New Roman"/>
          <w:bCs/>
          <w:noProof/>
          <w:sz w:val="24"/>
          <w:szCs w:val="24"/>
        </w:rPr>
        <w:t>Senior Associate to the Honourable Justice Ginnane</w:t>
      </w:r>
    </w:p>
    <w:p w:rsidR="00040EB7" w:rsidRPr="00DC159C" w:rsidRDefault="00366960" w:rsidP="00DC159C">
      <w:pPr>
        <w:spacing w:after="0"/>
        <w:jc w:val="right"/>
        <w:rPr>
          <w:rFonts w:ascii="Times New Roman" w:hAnsi="Times New Roman" w:cs="Times New Roman"/>
          <w:bCs/>
          <w:noProof/>
          <w:sz w:val="24"/>
          <w:szCs w:val="24"/>
        </w:rPr>
        <w:sectPr w:rsidR="00040EB7" w:rsidRPr="00DC159C" w:rsidSect="00792C16">
          <w:headerReference w:type="even" r:id="rId21"/>
          <w:headerReference w:type="default" r:id="rId22"/>
          <w:footerReference w:type="default" r:id="rId23"/>
          <w:headerReference w:type="first" r:id="rId24"/>
          <w:footerReference w:type="first" r:id="rId25"/>
          <w:pgSz w:w="11906" w:h="16838"/>
          <w:pgMar w:top="1285" w:right="1440" w:bottom="1440" w:left="1440" w:header="708" w:footer="708" w:gutter="0"/>
          <w:cols w:space="708"/>
          <w:titlePg/>
          <w:docGrid w:linePitch="360"/>
        </w:sectPr>
      </w:pPr>
      <w:r>
        <w:rPr>
          <w:rFonts w:ascii="Times New Roman" w:hAnsi="Times New Roman" w:cs="Times New Roman"/>
          <w:bCs/>
          <w:noProof/>
          <w:sz w:val="24"/>
          <w:szCs w:val="24"/>
        </w:rPr>
        <w:t>20</w:t>
      </w:r>
      <w:r w:rsidR="00500A50" w:rsidRPr="00DC159C">
        <w:rPr>
          <w:rFonts w:ascii="Times New Roman" w:hAnsi="Times New Roman" w:cs="Times New Roman"/>
          <w:bCs/>
          <w:noProof/>
          <w:sz w:val="24"/>
          <w:szCs w:val="24"/>
        </w:rPr>
        <w:t xml:space="preserve"> September 2016</w:t>
      </w:r>
    </w:p>
    <w:p w:rsidR="00040EB7" w:rsidRDefault="00040EB7" w:rsidP="004E57F5">
      <w:pPr>
        <w:spacing w:after="0" w:line="240" w:lineRule="auto"/>
        <w:rPr>
          <w:rFonts w:ascii="Arial" w:hAnsi="Arial" w:cs="Arial"/>
          <w:noProof/>
          <w:color w:val="C00000"/>
          <w:sz w:val="40"/>
        </w:rPr>
      </w:pPr>
      <w:r w:rsidRPr="008F01AC">
        <w:rPr>
          <w:rFonts w:ascii="Arial" w:hAnsi="Arial" w:cs="Arial"/>
          <w:noProof/>
          <w:color w:val="C00000"/>
          <w:sz w:val="40"/>
        </w:rPr>
        <w:t>J</w:t>
      </w:r>
      <w:r>
        <w:rPr>
          <w:rFonts w:ascii="Arial" w:hAnsi="Arial" w:cs="Arial"/>
          <w:noProof/>
          <w:color w:val="C00000"/>
          <w:sz w:val="40"/>
        </w:rPr>
        <w:t>udicial Review and Appeals List</w:t>
      </w:r>
    </w:p>
    <w:p w:rsidR="00040EB7" w:rsidRDefault="00040EB7" w:rsidP="004E57F5">
      <w:pPr>
        <w:spacing w:after="0" w:line="240" w:lineRule="auto"/>
      </w:pPr>
      <w:r w:rsidRPr="008F01AC">
        <w:rPr>
          <w:rFonts w:ascii="Arial" w:hAnsi="Arial" w:cs="Arial"/>
          <w:noProof/>
          <w:color w:val="C00000"/>
          <w:sz w:val="40"/>
        </w:rPr>
        <w:t>Hearing Date Information Form</w:t>
      </w:r>
      <w:r w:rsidRPr="008F01AC">
        <w:rPr>
          <w:rFonts w:ascii="Arial" w:hAnsi="Arial" w:cs="Arial"/>
          <w:noProof/>
        </w:rPr>
        <w:t xml:space="preserve"> </w:t>
      </w:r>
      <w:bookmarkStart w:id="0" w:name="_Toc167259887"/>
    </w:p>
    <w:p w:rsidR="00040EB7" w:rsidRDefault="00040EB7" w:rsidP="004E57F5">
      <w:pPr>
        <w:pStyle w:val="Header"/>
        <w:tabs>
          <w:tab w:val="left" w:pos="1185"/>
        </w:tabs>
        <w:ind w:left="-810"/>
        <w:rPr>
          <w:rFonts w:ascii="Arial" w:hAnsi="Arial" w:cs="Arial"/>
          <w:szCs w:val="20"/>
        </w:rPr>
      </w:pPr>
    </w:p>
    <w:p w:rsidR="00040EB7" w:rsidRDefault="00040EB7" w:rsidP="004E57F5">
      <w:pPr>
        <w:pStyle w:val="Header"/>
        <w:tabs>
          <w:tab w:val="left" w:pos="1185"/>
        </w:tabs>
        <w:ind w:left="-810"/>
        <w:rPr>
          <w:rFonts w:ascii="Arial" w:hAnsi="Arial" w:cs="Arial"/>
          <w:szCs w:val="20"/>
        </w:rPr>
      </w:pPr>
    </w:p>
    <w:p w:rsidR="00040EB7" w:rsidRDefault="00040EB7" w:rsidP="004E57F5">
      <w:pPr>
        <w:pStyle w:val="Header"/>
        <w:tabs>
          <w:tab w:val="left" w:pos="1185"/>
        </w:tabs>
        <w:ind w:left="-810"/>
        <w:rPr>
          <w:rFonts w:ascii="Arial" w:hAnsi="Arial" w:cs="Arial"/>
          <w:szCs w:val="20"/>
        </w:rPr>
      </w:pPr>
      <w:r w:rsidRPr="008F01AC">
        <w:rPr>
          <w:rFonts w:ascii="Arial" w:hAnsi="Arial" w:cs="Arial"/>
          <w:szCs w:val="20"/>
        </w:rPr>
        <w:t xml:space="preserve">Once completed, please send this form </w:t>
      </w:r>
      <w:r>
        <w:rPr>
          <w:rFonts w:ascii="Arial" w:hAnsi="Arial" w:cs="Arial"/>
          <w:szCs w:val="20"/>
        </w:rPr>
        <w:t xml:space="preserve">together with the proposed document requiring a hearing </w:t>
      </w:r>
    </w:p>
    <w:p w:rsidR="00040EB7" w:rsidRPr="0078259B" w:rsidRDefault="00040EB7" w:rsidP="004E57F5">
      <w:pPr>
        <w:pStyle w:val="Header"/>
        <w:tabs>
          <w:tab w:val="left" w:pos="1185"/>
        </w:tabs>
        <w:ind w:left="-810"/>
      </w:pPr>
      <w:r>
        <w:rPr>
          <w:rFonts w:ascii="Arial" w:hAnsi="Arial" w:cs="Arial"/>
          <w:szCs w:val="20"/>
        </w:rPr>
        <w:t xml:space="preserve">date </w:t>
      </w:r>
      <w:r w:rsidRPr="008F01AC">
        <w:rPr>
          <w:rFonts w:ascii="Arial" w:hAnsi="Arial" w:cs="Arial"/>
          <w:szCs w:val="20"/>
        </w:rPr>
        <w:t xml:space="preserve">to </w:t>
      </w:r>
      <w:hyperlink r:id="rId26" w:history="1">
        <w:r w:rsidRPr="008F01AC">
          <w:rPr>
            <w:rStyle w:val="Hyperlink"/>
            <w:rFonts w:ascii="Arial" w:hAnsi="Arial" w:cs="Arial"/>
            <w:szCs w:val="20"/>
          </w:rPr>
          <w:t>judicialreview@supcourt.vic.gov.au</w:t>
        </w:r>
      </w:hyperlink>
      <w:r w:rsidRPr="008F01AC">
        <w:rPr>
          <w:sz w:val="28"/>
        </w:rPr>
        <w:t xml:space="preserve"> </w:t>
      </w:r>
      <w:r>
        <w:rPr>
          <w:noProof/>
          <w:lang w:eastAsia="en-AU"/>
        </w:rPr>
        <w:drawing>
          <wp:anchor distT="0" distB="0" distL="114300" distR="114300" simplePos="0" relativeHeight="251659264" behindDoc="1" locked="1" layoutInCell="1" allowOverlap="0" wp14:anchorId="72C9DB79" wp14:editId="2A45C3A4">
            <wp:simplePos x="0" y="0"/>
            <wp:positionH relativeFrom="page">
              <wp:posOffset>352425</wp:posOffset>
            </wp:positionH>
            <wp:positionV relativeFrom="paragraph">
              <wp:posOffset>-1450975</wp:posOffset>
            </wp:positionV>
            <wp:extent cx="6839585" cy="1266825"/>
            <wp:effectExtent l="0" t="0" r="0" b="9525"/>
            <wp:wrapNone/>
            <wp:docPr id="2" name="Picture 2" descr="Factsheet_ligh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tsheet_lighter.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839585" cy="1266825"/>
                    </a:xfrm>
                    <a:prstGeom prst="rect">
                      <a:avLst/>
                    </a:prstGeom>
                    <a:noFill/>
                  </pic:spPr>
                </pic:pic>
              </a:graphicData>
            </a:graphic>
            <wp14:sizeRelH relativeFrom="page">
              <wp14:pctWidth>0</wp14:pctWidth>
            </wp14:sizeRelH>
            <wp14:sizeRelV relativeFrom="page">
              <wp14:pctHeight>0</wp14:pctHeight>
            </wp14:sizeRelV>
          </wp:anchor>
        </w:drawing>
      </w:r>
    </w:p>
    <w:tbl>
      <w:tblPr>
        <w:tblW w:w="10710" w:type="dxa"/>
        <w:tblInd w:w="-90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5310"/>
        <w:gridCol w:w="5400"/>
      </w:tblGrid>
      <w:tr w:rsidR="00040EB7" w:rsidRPr="00892D99" w:rsidTr="004E57F5">
        <w:tc>
          <w:tcPr>
            <w:tcW w:w="5310" w:type="dxa"/>
          </w:tcPr>
          <w:p w:rsidR="00040EB7" w:rsidRPr="00B035F0" w:rsidRDefault="00040EB7" w:rsidP="005408B7">
            <w:pPr>
              <w:pStyle w:val="Body"/>
              <w:spacing w:before="60" w:after="60"/>
              <w:rPr>
                <w:rFonts w:cs="Arial"/>
                <w:b/>
                <w:color w:val="C00000"/>
                <w:sz w:val="18"/>
                <w:szCs w:val="18"/>
                <w:lang w:val="en-AU"/>
              </w:rPr>
            </w:pPr>
            <w:r w:rsidRPr="00B035F0">
              <w:rPr>
                <w:rFonts w:cs="Arial"/>
                <w:b/>
                <w:color w:val="auto"/>
                <w:sz w:val="18"/>
                <w:szCs w:val="18"/>
                <w:lang w:val="en-AU"/>
              </w:rPr>
              <w:t>Hearing Return Date and Judicial Officer</w:t>
            </w:r>
            <w:r w:rsidRPr="00B035F0">
              <w:rPr>
                <w:rFonts w:cs="Arial"/>
                <w:b/>
                <w:color w:val="auto"/>
                <w:sz w:val="18"/>
                <w:szCs w:val="18"/>
                <w:lang w:val="en-AU"/>
              </w:rPr>
              <w:br/>
              <w:t>(Court Use Only)</w:t>
            </w:r>
          </w:p>
        </w:tc>
        <w:tc>
          <w:tcPr>
            <w:tcW w:w="5400" w:type="dxa"/>
          </w:tcPr>
          <w:p w:rsidR="00040EB7" w:rsidRPr="00892D99" w:rsidRDefault="00040EB7" w:rsidP="005408B7">
            <w:pPr>
              <w:pStyle w:val="Body"/>
              <w:spacing w:before="60" w:after="60"/>
              <w:rPr>
                <w:rFonts w:cs="Arial"/>
                <w:color w:val="C00000"/>
                <w:sz w:val="18"/>
                <w:szCs w:val="18"/>
                <w:lang w:val="en-AU"/>
              </w:rPr>
            </w:pPr>
          </w:p>
          <w:p w:rsidR="00040EB7" w:rsidRPr="00892D99" w:rsidRDefault="00040EB7" w:rsidP="005408B7">
            <w:pPr>
              <w:pStyle w:val="Body"/>
              <w:spacing w:before="60" w:after="60"/>
              <w:rPr>
                <w:rFonts w:cs="Arial"/>
                <w:color w:val="C00000"/>
                <w:sz w:val="18"/>
                <w:szCs w:val="18"/>
                <w:lang w:val="en-AU"/>
              </w:rPr>
            </w:pPr>
          </w:p>
        </w:tc>
      </w:tr>
      <w:tr w:rsidR="00040EB7" w:rsidRPr="000C5B50" w:rsidTr="004E57F5">
        <w:tc>
          <w:tcPr>
            <w:tcW w:w="5310" w:type="dxa"/>
          </w:tcPr>
          <w:p w:rsidR="00040EB7" w:rsidRPr="000C5B50" w:rsidRDefault="00040EB7" w:rsidP="005408B7">
            <w:pPr>
              <w:pStyle w:val="Body"/>
              <w:spacing w:before="60" w:after="60"/>
              <w:rPr>
                <w:rFonts w:cs="Arial"/>
                <w:b/>
                <w:sz w:val="18"/>
                <w:szCs w:val="18"/>
                <w:lang w:val="en-AU"/>
              </w:rPr>
            </w:pPr>
            <w:r w:rsidRPr="000C5B50">
              <w:rPr>
                <w:rFonts w:cs="Arial"/>
                <w:b/>
                <w:sz w:val="18"/>
                <w:szCs w:val="18"/>
                <w:lang w:val="en-AU"/>
              </w:rPr>
              <w:t>Proceeding number</w:t>
            </w:r>
            <w:r>
              <w:rPr>
                <w:rFonts w:cs="Arial"/>
                <w:b/>
                <w:sz w:val="18"/>
                <w:szCs w:val="18"/>
                <w:lang w:val="en-AU"/>
              </w:rPr>
              <w:t xml:space="preserve"> (if an existing proceeding)</w:t>
            </w:r>
            <w:r w:rsidRPr="000C5B50">
              <w:rPr>
                <w:rFonts w:cs="Arial"/>
                <w:b/>
                <w:sz w:val="18"/>
                <w:szCs w:val="18"/>
                <w:lang w:val="en-AU"/>
              </w:rPr>
              <w:t xml:space="preserve">: </w:t>
            </w:r>
          </w:p>
        </w:tc>
        <w:tc>
          <w:tcPr>
            <w:tcW w:w="5400" w:type="dxa"/>
          </w:tcPr>
          <w:p w:rsidR="00040EB7" w:rsidRDefault="00040EB7" w:rsidP="005408B7">
            <w:pPr>
              <w:pStyle w:val="Body"/>
              <w:spacing w:before="60" w:after="60"/>
              <w:rPr>
                <w:rFonts w:cs="Arial"/>
                <w:sz w:val="18"/>
                <w:szCs w:val="18"/>
                <w:lang w:val="en-AU"/>
              </w:rPr>
            </w:pPr>
          </w:p>
          <w:p w:rsidR="00010FD3" w:rsidRPr="000C5B50" w:rsidRDefault="00010FD3" w:rsidP="005408B7">
            <w:pPr>
              <w:pStyle w:val="Body"/>
              <w:spacing w:before="60" w:after="60"/>
              <w:rPr>
                <w:rFonts w:cs="Arial"/>
                <w:sz w:val="18"/>
                <w:szCs w:val="18"/>
                <w:lang w:val="en-AU"/>
              </w:rPr>
            </w:pPr>
          </w:p>
        </w:tc>
      </w:tr>
      <w:tr w:rsidR="00040EB7" w:rsidRPr="000C5B50" w:rsidTr="004E57F5">
        <w:trPr>
          <w:trHeight w:val="1153"/>
        </w:trPr>
        <w:tc>
          <w:tcPr>
            <w:tcW w:w="5310" w:type="dxa"/>
          </w:tcPr>
          <w:p w:rsidR="00040EB7" w:rsidRPr="000C5B50" w:rsidRDefault="00040EB7" w:rsidP="005408B7">
            <w:pPr>
              <w:pStyle w:val="Body"/>
              <w:spacing w:before="60" w:after="60"/>
              <w:rPr>
                <w:rFonts w:cs="Arial"/>
                <w:b/>
                <w:sz w:val="18"/>
                <w:szCs w:val="18"/>
                <w:lang w:val="en-AU"/>
              </w:rPr>
            </w:pPr>
            <w:r w:rsidRPr="000C5B50">
              <w:rPr>
                <w:rFonts w:cs="Arial"/>
                <w:b/>
                <w:sz w:val="18"/>
                <w:szCs w:val="18"/>
                <w:lang w:val="en-AU"/>
              </w:rPr>
              <w:t>Summary of proceeding</w:t>
            </w:r>
            <w:r w:rsidR="00152270">
              <w:rPr>
                <w:rFonts w:cs="Arial"/>
                <w:b/>
                <w:sz w:val="18"/>
                <w:szCs w:val="18"/>
                <w:lang w:val="en-AU"/>
              </w:rPr>
              <w:t xml:space="preserve"> or proposed proceeding</w:t>
            </w:r>
            <w:r w:rsidRPr="000C5B50">
              <w:rPr>
                <w:rFonts w:cs="Arial"/>
                <w:b/>
                <w:sz w:val="18"/>
                <w:szCs w:val="18"/>
                <w:lang w:val="en-AU"/>
              </w:rPr>
              <w:t>:</w:t>
            </w:r>
          </w:p>
          <w:p w:rsidR="00040EB7" w:rsidRPr="000C5B50" w:rsidRDefault="00040EB7" w:rsidP="00152270">
            <w:pPr>
              <w:pStyle w:val="Body"/>
              <w:spacing w:before="60" w:after="60"/>
              <w:rPr>
                <w:rFonts w:cs="Arial"/>
                <w:sz w:val="18"/>
                <w:szCs w:val="18"/>
                <w:lang w:val="en-AU"/>
              </w:rPr>
            </w:pPr>
            <w:r w:rsidRPr="000C5B50">
              <w:rPr>
                <w:rFonts w:cs="Arial"/>
                <w:sz w:val="18"/>
                <w:szCs w:val="18"/>
                <w:lang w:val="en-AU"/>
              </w:rPr>
              <w:t xml:space="preserve">Provide a short summary of the </w:t>
            </w:r>
            <w:r>
              <w:rPr>
                <w:rFonts w:cs="Arial"/>
                <w:sz w:val="18"/>
                <w:szCs w:val="18"/>
                <w:lang w:val="en-AU"/>
              </w:rPr>
              <w:t>nature</w:t>
            </w:r>
            <w:r w:rsidRPr="000C5B50">
              <w:rPr>
                <w:rFonts w:cs="Arial"/>
                <w:sz w:val="18"/>
                <w:szCs w:val="18"/>
                <w:lang w:val="en-AU"/>
              </w:rPr>
              <w:t xml:space="preserve"> of </w:t>
            </w:r>
            <w:r w:rsidR="00CB0821">
              <w:rPr>
                <w:rFonts w:cs="Arial"/>
                <w:sz w:val="18"/>
                <w:szCs w:val="18"/>
                <w:lang w:val="en-AU"/>
              </w:rPr>
              <w:t xml:space="preserve">the </w:t>
            </w:r>
            <w:r w:rsidRPr="00DC159C">
              <w:rPr>
                <w:rFonts w:cs="Arial"/>
                <w:sz w:val="18"/>
                <w:szCs w:val="18"/>
              </w:rPr>
              <w:t>proceeding</w:t>
            </w:r>
            <w:r w:rsidRPr="000C5B50">
              <w:rPr>
                <w:rFonts w:cs="Arial"/>
                <w:sz w:val="18"/>
                <w:szCs w:val="18"/>
                <w:lang w:val="en-AU"/>
              </w:rPr>
              <w:t xml:space="preserve"> </w:t>
            </w:r>
            <w:r w:rsidR="00152270">
              <w:rPr>
                <w:rFonts w:cs="Arial"/>
                <w:sz w:val="18"/>
                <w:szCs w:val="18"/>
                <w:lang w:val="en-AU"/>
              </w:rPr>
              <w:t>or proposed proceeding.</w:t>
            </w:r>
          </w:p>
        </w:tc>
        <w:tc>
          <w:tcPr>
            <w:tcW w:w="5400" w:type="dxa"/>
          </w:tcPr>
          <w:p w:rsidR="00040EB7" w:rsidRDefault="00040EB7" w:rsidP="005408B7">
            <w:pPr>
              <w:pStyle w:val="Body"/>
              <w:spacing w:before="60" w:after="60"/>
              <w:rPr>
                <w:rFonts w:cs="Arial"/>
                <w:sz w:val="18"/>
                <w:szCs w:val="18"/>
                <w:lang w:val="en-AU"/>
              </w:rPr>
            </w:pPr>
          </w:p>
          <w:p w:rsidR="00010FD3" w:rsidRDefault="00010FD3" w:rsidP="005408B7">
            <w:pPr>
              <w:pStyle w:val="Body"/>
              <w:spacing w:before="60" w:after="60"/>
              <w:rPr>
                <w:rFonts w:cs="Arial"/>
                <w:sz w:val="18"/>
                <w:szCs w:val="18"/>
                <w:lang w:val="en-AU"/>
              </w:rPr>
            </w:pPr>
          </w:p>
          <w:p w:rsidR="00010FD3" w:rsidRDefault="00010FD3" w:rsidP="005408B7">
            <w:pPr>
              <w:pStyle w:val="Body"/>
              <w:spacing w:before="60" w:after="60"/>
              <w:rPr>
                <w:rFonts w:cs="Arial"/>
                <w:sz w:val="18"/>
                <w:szCs w:val="18"/>
                <w:lang w:val="en-AU"/>
              </w:rPr>
            </w:pPr>
          </w:p>
          <w:p w:rsidR="00010FD3" w:rsidRDefault="00010FD3" w:rsidP="005408B7">
            <w:pPr>
              <w:pStyle w:val="Body"/>
              <w:spacing w:before="60" w:after="60"/>
              <w:rPr>
                <w:rFonts w:cs="Arial"/>
                <w:sz w:val="18"/>
                <w:szCs w:val="18"/>
                <w:lang w:val="en-AU"/>
              </w:rPr>
            </w:pPr>
          </w:p>
          <w:p w:rsidR="00010FD3" w:rsidRPr="000C5B50" w:rsidRDefault="00010FD3" w:rsidP="005408B7">
            <w:pPr>
              <w:pStyle w:val="Body"/>
              <w:spacing w:before="60" w:after="60"/>
              <w:rPr>
                <w:rFonts w:cs="Arial"/>
                <w:sz w:val="18"/>
                <w:szCs w:val="18"/>
                <w:lang w:val="en-AU"/>
              </w:rPr>
            </w:pPr>
          </w:p>
        </w:tc>
      </w:tr>
      <w:tr w:rsidR="00040EB7" w:rsidRPr="000C5B50" w:rsidTr="004E57F5">
        <w:trPr>
          <w:trHeight w:val="849"/>
        </w:trPr>
        <w:tc>
          <w:tcPr>
            <w:tcW w:w="5310" w:type="dxa"/>
          </w:tcPr>
          <w:p w:rsidR="00040EB7" w:rsidRPr="000C5B50" w:rsidRDefault="00040EB7" w:rsidP="005408B7">
            <w:pPr>
              <w:pStyle w:val="Body"/>
              <w:spacing w:before="60" w:after="60"/>
              <w:rPr>
                <w:rFonts w:cs="Arial"/>
                <w:b/>
                <w:sz w:val="18"/>
                <w:szCs w:val="18"/>
                <w:lang w:val="en-AU"/>
              </w:rPr>
            </w:pPr>
            <w:r w:rsidRPr="000C5B50">
              <w:rPr>
                <w:rFonts w:cs="Arial"/>
                <w:b/>
                <w:sz w:val="18"/>
                <w:szCs w:val="18"/>
                <w:lang w:val="en-AU"/>
              </w:rPr>
              <w:t xml:space="preserve">Who is bringing the </w:t>
            </w:r>
            <w:r w:rsidR="00152270">
              <w:rPr>
                <w:rFonts w:cs="Arial"/>
                <w:b/>
                <w:sz w:val="18"/>
                <w:szCs w:val="18"/>
                <w:lang w:val="en-AU"/>
              </w:rPr>
              <w:t>proposed proceeding or relevant application in the proceeding</w:t>
            </w:r>
            <w:r w:rsidRPr="000C5B50">
              <w:rPr>
                <w:rFonts w:cs="Arial"/>
                <w:b/>
                <w:sz w:val="18"/>
                <w:szCs w:val="18"/>
                <w:lang w:val="en-AU"/>
              </w:rPr>
              <w:t>?</w:t>
            </w:r>
          </w:p>
          <w:p w:rsidR="00040EB7" w:rsidRPr="000C5B50" w:rsidRDefault="00040EB7" w:rsidP="005408B7">
            <w:pPr>
              <w:pStyle w:val="Body"/>
              <w:spacing w:before="60" w:after="60"/>
              <w:rPr>
                <w:rFonts w:cs="Arial"/>
                <w:sz w:val="18"/>
                <w:szCs w:val="18"/>
                <w:lang w:val="en-AU"/>
              </w:rPr>
            </w:pPr>
            <w:r w:rsidRPr="000C5B50">
              <w:rPr>
                <w:rFonts w:cs="Arial"/>
                <w:sz w:val="18"/>
                <w:szCs w:val="18"/>
                <w:lang w:val="en-AU"/>
              </w:rPr>
              <w:t>Party type and name of party.</w:t>
            </w:r>
            <w:r>
              <w:rPr>
                <w:rFonts w:cs="Arial"/>
                <w:b/>
                <w:sz w:val="18"/>
                <w:szCs w:val="18"/>
                <w:lang w:val="en-AU"/>
              </w:rPr>
              <w:t xml:space="preserve"> </w:t>
            </w:r>
          </w:p>
        </w:tc>
        <w:tc>
          <w:tcPr>
            <w:tcW w:w="5400" w:type="dxa"/>
          </w:tcPr>
          <w:p w:rsidR="00040EB7" w:rsidRDefault="00040EB7" w:rsidP="005408B7">
            <w:pPr>
              <w:pStyle w:val="Body"/>
              <w:spacing w:before="60" w:after="60"/>
              <w:rPr>
                <w:rFonts w:cs="Arial"/>
                <w:sz w:val="18"/>
                <w:szCs w:val="18"/>
                <w:lang w:val="en-AU"/>
              </w:rPr>
            </w:pPr>
          </w:p>
          <w:p w:rsidR="00010FD3" w:rsidRDefault="00010FD3" w:rsidP="005408B7">
            <w:pPr>
              <w:pStyle w:val="Body"/>
              <w:spacing w:before="60" w:after="60"/>
              <w:rPr>
                <w:rFonts w:cs="Arial"/>
                <w:sz w:val="18"/>
                <w:szCs w:val="18"/>
                <w:lang w:val="en-AU"/>
              </w:rPr>
            </w:pPr>
          </w:p>
          <w:p w:rsidR="00010FD3" w:rsidRDefault="00010FD3" w:rsidP="005408B7">
            <w:pPr>
              <w:pStyle w:val="Body"/>
              <w:spacing w:before="60" w:after="60"/>
              <w:rPr>
                <w:rFonts w:cs="Arial"/>
                <w:sz w:val="18"/>
                <w:szCs w:val="18"/>
                <w:lang w:val="en-AU"/>
              </w:rPr>
            </w:pPr>
          </w:p>
          <w:p w:rsidR="00010FD3" w:rsidRPr="000C5B50" w:rsidRDefault="00010FD3" w:rsidP="005408B7">
            <w:pPr>
              <w:pStyle w:val="Body"/>
              <w:spacing w:before="60" w:after="60"/>
              <w:rPr>
                <w:rFonts w:cs="Arial"/>
                <w:sz w:val="18"/>
                <w:szCs w:val="18"/>
                <w:lang w:val="en-AU"/>
              </w:rPr>
            </w:pPr>
          </w:p>
        </w:tc>
      </w:tr>
      <w:tr w:rsidR="00040EB7" w:rsidRPr="000C5B50" w:rsidTr="004E57F5">
        <w:tc>
          <w:tcPr>
            <w:tcW w:w="5310" w:type="dxa"/>
          </w:tcPr>
          <w:p w:rsidR="00040EB7" w:rsidRPr="000C5B50" w:rsidRDefault="00152270" w:rsidP="005408B7">
            <w:pPr>
              <w:pStyle w:val="Body"/>
              <w:spacing w:before="60" w:after="60"/>
              <w:rPr>
                <w:rFonts w:cs="Arial"/>
                <w:b/>
                <w:sz w:val="18"/>
                <w:szCs w:val="18"/>
                <w:lang w:val="en-AU"/>
              </w:rPr>
            </w:pPr>
            <w:r>
              <w:rPr>
                <w:rFonts w:cs="Arial"/>
                <w:b/>
                <w:sz w:val="18"/>
                <w:szCs w:val="18"/>
                <w:lang w:val="en-AU"/>
              </w:rPr>
              <w:t>Nature of hearing</w:t>
            </w:r>
            <w:r w:rsidR="00040EB7" w:rsidRPr="000C5B50">
              <w:rPr>
                <w:rFonts w:cs="Arial"/>
                <w:b/>
                <w:sz w:val="18"/>
                <w:szCs w:val="18"/>
                <w:lang w:val="en-AU"/>
              </w:rPr>
              <w:t>:</w:t>
            </w:r>
          </w:p>
          <w:p w:rsidR="00040EB7" w:rsidRDefault="00152270" w:rsidP="005408B7">
            <w:pPr>
              <w:pStyle w:val="Body"/>
              <w:spacing w:before="60" w:after="60"/>
              <w:rPr>
                <w:rFonts w:cs="Arial"/>
                <w:b/>
                <w:sz w:val="18"/>
                <w:szCs w:val="18"/>
                <w:lang w:val="en-AU"/>
              </w:rPr>
            </w:pPr>
            <w:r>
              <w:rPr>
                <w:rFonts w:cs="Arial"/>
                <w:sz w:val="18"/>
                <w:szCs w:val="18"/>
                <w:lang w:val="en-AU"/>
              </w:rPr>
              <w:t>Specify whether initial directions hearing or hearing of summons for interlocutory relief.</w:t>
            </w:r>
          </w:p>
          <w:p w:rsidR="00040EB7" w:rsidRDefault="00040EB7" w:rsidP="005408B7">
            <w:pPr>
              <w:pStyle w:val="Body"/>
              <w:spacing w:before="60" w:after="60"/>
              <w:rPr>
                <w:rFonts w:cs="Arial"/>
                <w:b/>
                <w:sz w:val="18"/>
                <w:szCs w:val="18"/>
                <w:lang w:val="en-AU"/>
              </w:rPr>
            </w:pPr>
          </w:p>
          <w:p w:rsidR="00040EB7" w:rsidRPr="000C5B50" w:rsidRDefault="00040EB7" w:rsidP="005408B7">
            <w:pPr>
              <w:pStyle w:val="Body"/>
              <w:spacing w:before="60" w:after="60"/>
              <w:rPr>
                <w:rFonts w:cs="Arial"/>
                <w:b/>
                <w:sz w:val="18"/>
                <w:szCs w:val="18"/>
                <w:lang w:val="en-AU"/>
              </w:rPr>
            </w:pPr>
          </w:p>
        </w:tc>
        <w:tc>
          <w:tcPr>
            <w:tcW w:w="5400" w:type="dxa"/>
          </w:tcPr>
          <w:p w:rsidR="00040EB7" w:rsidRPr="000C5B50" w:rsidRDefault="00040EB7" w:rsidP="005408B7">
            <w:pPr>
              <w:pStyle w:val="Body"/>
              <w:spacing w:before="60" w:after="60"/>
              <w:rPr>
                <w:rFonts w:cs="Arial"/>
                <w:sz w:val="18"/>
                <w:szCs w:val="18"/>
                <w:lang w:val="en-AU"/>
              </w:rPr>
            </w:pPr>
          </w:p>
        </w:tc>
      </w:tr>
      <w:tr w:rsidR="00B035F0" w:rsidRPr="000C5B50" w:rsidTr="004E57F5">
        <w:tc>
          <w:tcPr>
            <w:tcW w:w="5310" w:type="dxa"/>
          </w:tcPr>
          <w:p w:rsidR="00B035F0" w:rsidRDefault="00B035F0" w:rsidP="005408B7">
            <w:pPr>
              <w:pStyle w:val="Body"/>
              <w:spacing w:before="60" w:after="60"/>
              <w:rPr>
                <w:rFonts w:cs="Arial"/>
                <w:b/>
                <w:sz w:val="18"/>
                <w:szCs w:val="18"/>
                <w:lang w:val="en-AU"/>
              </w:rPr>
            </w:pPr>
            <w:r>
              <w:rPr>
                <w:rFonts w:cs="Arial"/>
                <w:b/>
                <w:sz w:val="18"/>
                <w:szCs w:val="18"/>
                <w:lang w:val="en-AU"/>
              </w:rPr>
              <w:t>Affidavits relied upon:</w:t>
            </w:r>
          </w:p>
          <w:p w:rsidR="00B035F0" w:rsidRDefault="00B035F0" w:rsidP="00B035F0">
            <w:pPr>
              <w:pStyle w:val="Body"/>
              <w:spacing w:before="60" w:after="60"/>
              <w:rPr>
                <w:rFonts w:cs="Arial"/>
                <w:b/>
                <w:sz w:val="18"/>
                <w:szCs w:val="18"/>
                <w:lang w:val="en-AU"/>
              </w:rPr>
            </w:pPr>
          </w:p>
        </w:tc>
        <w:tc>
          <w:tcPr>
            <w:tcW w:w="5400" w:type="dxa"/>
          </w:tcPr>
          <w:p w:rsidR="00B035F0" w:rsidRDefault="00B035F0" w:rsidP="005408B7">
            <w:pPr>
              <w:pStyle w:val="Body"/>
              <w:spacing w:before="60" w:after="60"/>
              <w:rPr>
                <w:rFonts w:cs="Arial"/>
                <w:sz w:val="18"/>
                <w:szCs w:val="18"/>
                <w:lang w:val="en-AU"/>
              </w:rPr>
            </w:pPr>
          </w:p>
        </w:tc>
      </w:tr>
      <w:tr w:rsidR="00B035F0" w:rsidRPr="000C5B50" w:rsidTr="004E57F5">
        <w:tc>
          <w:tcPr>
            <w:tcW w:w="5310" w:type="dxa"/>
          </w:tcPr>
          <w:p w:rsidR="00B035F0" w:rsidRDefault="00B035F0" w:rsidP="005408B7">
            <w:pPr>
              <w:pStyle w:val="Body"/>
              <w:spacing w:before="60" w:after="60"/>
              <w:rPr>
                <w:rFonts w:cs="Arial"/>
                <w:b/>
                <w:sz w:val="18"/>
                <w:szCs w:val="18"/>
                <w:lang w:val="en-AU"/>
              </w:rPr>
            </w:pPr>
            <w:r>
              <w:rPr>
                <w:rFonts w:cs="Arial"/>
                <w:b/>
                <w:sz w:val="18"/>
                <w:szCs w:val="18"/>
                <w:lang w:val="en-AU"/>
              </w:rPr>
              <w:t>Rule or legislative provision under which hearing/application is brought:</w:t>
            </w:r>
          </w:p>
          <w:p w:rsidR="00B035F0" w:rsidRPr="000C5B50" w:rsidRDefault="00B035F0" w:rsidP="005408B7">
            <w:pPr>
              <w:pStyle w:val="Body"/>
              <w:spacing w:before="60" w:after="60"/>
              <w:rPr>
                <w:rFonts w:cs="Arial"/>
                <w:b/>
                <w:sz w:val="18"/>
                <w:szCs w:val="18"/>
                <w:lang w:val="en-AU"/>
              </w:rPr>
            </w:pPr>
            <w:r>
              <w:rPr>
                <w:rFonts w:cs="Arial"/>
                <w:b/>
                <w:sz w:val="18"/>
                <w:szCs w:val="18"/>
                <w:lang w:val="en-AU"/>
              </w:rPr>
              <w:t xml:space="preserve"> </w:t>
            </w:r>
          </w:p>
        </w:tc>
        <w:tc>
          <w:tcPr>
            <w:tcW w:w="5400" w:type="dxa"/>
          </w:tcPr>
          <w:p w:rsidR="00B035F0" w:rsidRPr="000C5B50" w:rsidRDefault="00B035F0" w:rsidP="005408B7">
            <w:pPr>
              <w:pStyle w:val="Body"/>
              <w:spacing w:before="60" w:after="60"/>
              <w:rPr>
                <w:rFonts w:cs="Arial"/>
                <w:sz w:val="18"/>
                <w:szCs w:val="18"/>
                <w:lang w:val="en-AU"/>
              </w:rPr>
            </w:pPr>
          </w:p>
        </w:tc>
      </w:tr>
      <w:tr w:rsidR="00040EB7" w:rsidRPr="000C5B50" w:rsidTr="004E57F5">
        <w:tc>
          <w:tcPr>
            <w:tcW w:w="5310" w:type="dxa"/>
          </w:tcPr>
          <w:p w:rsidR="00040EB7" w:rsidRDefault="00040EB7" w:rsidP="005408B7">
            <w:pPr>
              <w:pStyle w:val="Body"/>
              <w:spacing w:before="60" w:after="60"/>
              <w:rPr>
                <w:rFonts w:cs="Arial"/>
                <w:sz w:val="18"/>
                <w:szCs w:val="18"/>
                <w:lang w:val="en-AU"/>
              </w:rPr>
            </w:pPr>
            <w:r w:rsidRPr="000C5B50">
              <w:rPr>
                <w:rFonts w:cs="Arial"/>
                <w:b/>
                <w:sz w:val="18"/>
                <w:szCs w:val="18"/>
                <w:lang w:val="en-AU"/>
              </w:rPr>
              <w:t>Estimate</w:t>
            </w:r>
            <w:r>
              <w:rPr>
                <w:rFonts w:cs="Arial"/>
                <w:b/>
                <w:sz w:val="18"/>
                <w:szCs w:val="18"/>
                <w:lang w:val="en-AU"/>
              </w:rPr>
              <w:t xml:space="preserve"> of hearing time required (hours):</w:t>
            </w:r>
            <w:r>
              <w:rPr>
                <w:rStyle w:val="FootnoteReference"/>
                <w:rFonts w:cs="Arial"/>
                <w:b/>
                <w:sz w:val="18"/>
                <w:szCs w:val="18"/>
                <w:lang w:val="en-AU"/>
              </w:rPr>
              <w:footnoteReference w:id="1"/>
            </w:r>
            <w:r w:rsidRPr="000C5B50">
              <w:rPr>
                <w:rFonts w:cs="Arial"/>
                <w:b/>
                <w:sz w:val="18"/>
                <w:szCs w:val="18"/>
                <w:lang w:val="en-AU"/>
              </w:rPr>
              <w:t xml:space="preserve"> </w:t>
            </w:r>
          </w:p>
          <w:p w:rsidR="00040EB7" w:rsidRPr="00291035" w:rsidRDefault="00040EB7" w:rsidP="005408B7">
            <w:pPr>
              <w:pStyle w:val="Body"/>
              <w:spacing w:before="60" w:after="60"/>
              <w:rPr>
                <w:rFonts w:cs="Arial"/>
                <w:sz w:val="18"/>
                <w:szCs w:val="18"/>
                <w:lang w:val="en-AU"/>
              </w:rPr>
            </w:pPr>
          </w:p>
        </w:tc>
        <w:tc>
          <w:tcPr>
            <w:tcW w:w="5400" w:type="dxa"/>
          </w:tcPr>
          <w:p w:rsidR="00040EB7" w:rsidRPr="000C5B50" w:rsidRDefault="00040EB7" w:rsidP="005408B7">
            <w:pPr>
              <w:pStyle w:val="Body"/>
              <w:spacing w:before="60" w:after="60"/>
              <w:rPr>
                <w:rFonts w:cs="Arial"/>
                <w:sz w:val="18"/>
                <w:szCs w:val="18"/>
                <w:lang w:val="en-AU"/>
              </w:rPr>
            </w:pPr>
          </w:p>
        </w:tc>
      </w:tr>
      <w:tr w:rsidR="00040EB7" w:rsidRPr="000C5B50" w:rsidTr="004E57F5">
        <w:tc>
          <w:tcPr>
            <w:tcW w:w="5310" w:type="dxa"/>
          </w:tcPr>
          <w:p w:rsidR="00040EB7" w:rsidRDefault="00040EB7" w:rsidP="005408B7">
            <w:pPr>
              <w:pStyle w:val="Body"/>
              <w:spacing w:before="60" w:after="60"/>
              <w:rPr>
                <w:rFonts w:cs="Arial"/>
                <w:b/>
                <w:sz w:val="18"/>
                <w:szCs w:val="18"/>
                <w:lang w:val="en-AU"/>
              </w:rPr>
            </w:pPr>
            <w:r>
              <w:rPr>
                <w:rFonts w:cs="Arial"/>
                <w:b/>
                <w:sz w:val="18"/>
                <w:szCs w:val="18"/>
                <w:lang w:val="en-AU"/>
              </w:rPr>
              <w:t>Other requirements as to hearing date:</w:t>
            </w:r>
          </w:p>
          <w:p w:rsidR="00040EB7" w:rsidRPr="00D432A5" w:rsidRDefault="00040EB7" w:rsidP="005408B7">
            <w:pPr>
              <w:pStyle w:val="Body"/>
              <w:spacing w:before="60" w:after="60"/>
              <w:rPr>
                <w:rFonts w:cs="Arial"/>
                <w:sz w:val="18"/>
                <w:szCs w:val="18"/>
                <w:lang w:val="en-AU"/>
              </w:rPr>
            </w:pPr>
            <w:r w:rsidRPr="00D432A5">
              <w:rPr>
                <w:rFonts w:cs="Arial"/>
                <w:sz w:val="18"/>
                <w:szCs w:val="18"/>
                <w:lang w:val="en-AU"/>
              </w:rPr>
              <w:t>Include</w:t>
            </w:r>
            <w:r>
              <w:rPr>
                <w:rFonts w:cs="Arial"/>
                <w:sz w:val="18"/>
                <w:szCs w:val="18"/>
                <w:lang w:val="en-AU"/>
              </w:rPr>
              <w:t xml:space="preserve"> reasons for</w:t>
            </w:r>
            <w:r w:rsidR="00152270">
              <w:rPr>
                <w:rFonts w:cs="Arial"/>
                <w:sz w:val="18"/>
                <w:szCs w:val="18"/>
                <w:lang w:val="en-AU"/>
              </w:rPr>
              <w:t xml:space="preserve"> any</w:t>
            </w:r>
            <w:r>
              <w:rPr>
                <w:rFonts w:cs="Arial"/>
                <w:sz w:val="18"/>
                <w:szCs w:val="18"/>
                <w:lang w:val="en-AU"/>
              </w:rPr>
              <w:t xml:space="preserve"> urgency</w:t>
            </w:r>
            <w:r w:rsidRPr="00D432A5">
              <w:rPr>
                <w:rFonts w:cs="Arial"/>
                <w:sz w:val="18"/>
                <w:szCs w:val="18"/>
                <w:lang w:val="en-AU"/>
              </w:rPr>
              <w:t xml:space="preserve"> </w:t>
            </w:r>
            <w:r>
              <w:rPr>
                <w:rFonts w:cs="Arial"/>
                <w:sz w:val="18"/>
                <w:szCs w:val="18"/>
                <w:lang w:val="en-AU"/>
              </w:rPr>
              <w:t xml:space="preserve">and/or any dates </w:t>
            </w:r>
            <w:r w:rsidRPr="0012350B">
              <w:rPr>
                <w:rFonts w:cs="Arial"/>
                <w:i/>
                <w:sz w:val="18"/>
                <w:szCs w:val="18"/>
                <w:lang w:val="en-AU"/>
              </w:rPr>
              <w:t>unsuitable</w:t>
            </w:r>
            <w:r>
              <w:rPr>
                <w:rFonts w:cs="Arial"/>
                <w:sz w:val="18"/>
                <w:szCs w:val="18"/>
                <w:lang w:val="en-AU"/>
              </w:rPr>
              <w:t xml:space="preserve"> for the applicant.</w:t>
            </w:r>
          </w:p>
          <w:p w:rsidR="00040EB7" w:rsidRPr="000C5B50" w:rsidRDefault="00040EB7" w:rsidP="005408B7">
            <w:pPr>
              <w:pStyle w:val="Body"/>
              <w:spacing w:before="60" w:after="60"/>
              <w:rPr>
                <w:rFonts w:cs="Arial"/>
                <w:b/>
                <w:sz w:val="18"/>
                <w:szCs w:val="18"/>
                <w:lang w:val="en-AU"/>
              </w:rPr>
            </w:pPr>
          </w:p>
        </w:tc>
        <w:tc>
          <w:tcPr>
            <w:tcW w:w="5400" w:type="dxa"/>
          </w:tcPr>
          <w:p w:rsidR="00040EB7" w:rsidRDefault="00040EB7" w:rsidP="005408B7">
            <w:pPr>
              <w:pStyle w:val="Body"/>
              <w:spacing w:before="60" w:after="60"/>
              <w:rPr>
                <w:rFonts w:cs="Arial"/>
                <w:sz w:val="18"/>
                <w:szCs w:val="18"/>
                <w:lang w:val="en-AU"/>
              </w:rPr>
            </w:pPr>
          </w:p>
          <w:p w:rsidR="00010FD3" w:rsidRDefault="00010FD3" w:rsidP="005408B7">
            <w:pPr>
              <w:pStyle w:val="Body"/>
              <w:spacing w:before="60" w:after="60"/>
              <w:rPr>
                <w:rFonts w:cs="Arial"/>
                <w:sz w:val="18"/>
                <w:szCs w:val="18"/>
                <w:lang w:val="en-AU"/>
              </w:rPr>
            </w:pPr>
          </w:p>
          <w:p w:rsidR="00010FD3" w:rsidRDefault="00010FD3" w:rsidP="005408B7">
            <w:pPr>
              <w:pStyle w:val="Body"/>
              <w:spacing w:before="60" w:after="60"/>
              <w:rPr>
                <w:rFonts w:cs="Arial"/>
                <w:sz w:val="18"/>
                <w:szCs w:val="18"/>
                <w:lang w:val="en-AU"/>
              </w:rPr>
            </w:pPr>
          </w:p>
          <w:p w:rsidR="00010FD3" w:rsidRDefault="00010FD3" w:rsidP="005408B7">
            <w:pPr>
              <w:pStyle w:val="Body"/>
              <w:spacing w:before="60" w:after="60"/>
              <w:rPr>
                <w:rFonts w:cs="Arial"/>
                <w:sz w:val="18"/>
                <w:szCs w:val="18"/>
                <w:lang w:val="en-AU"/>
              </w:rPr>
            </w:pPr>
          </w:p>
          <w:p w:rsidR="00010FD3" w:rsidRPr="000C5B50" w:rsidRDefault="00010FD3" w:rsidP="005408B7">
            <w:pPr>
              <w:pStyle w:val="Body"/>
              <w:spacing w:before="60" w:after="60"/>
              <w:rPr>
                <w:rFonts w:cs="Arial"/>
                <w:sz w:val="18"/>
                <w:szCs w:val="18"/>
                <w:lang w:val="en-AU"/>
              </w:rPr>
            </w:pPr>
          </w:p>
        </w:tc>
      </w:tr>
      <w:tr w:rsidR="00040EB7" w:rsidRPr="000C5B50" w:rsidTr="004E57F5">
        <w:tc>
          <w:tcPr>
            <w:tcW w:w="5310" w:type="dxa"/>
          </w:tcPr>
          <w:p w:rsidR="00040EB7" w:rsidRPr="000C5B50" w:rsidRDefault="00040EB7" w:rsidP="00152270">
            <w:pPr>
              <w:pStyle w:val="Body"/>
              <w:spacing w:before="60" w:after="60"/>
              <w:rPr>
                <w:rFonts w:cs="Arial"/>
                <w:b/>
                <w:sz w:val="18"/>
                <w:szCs w:val="18"/>
                <w:lang w:val="en-AU"/>
              </w:rPr>
            </w:pPr>
            <w:r>
              <w:rPr>
                <w:rFonts w:cs="Arial"/>
                <w:b/>
                <w:sz w:val="18"/>
                <w:szCs w:val="18"/>
                <w:lang w:val="en-AU"/>
              </w:rPr>
              <w:t xml:space="preserve">Whether </w:t>
            </w:r>
            <w:r w:rsidR="00152270">
              <w:rPr>
                <w:rFonts w:cs="Arial"/>
                <w:b/>
                <w:sz w:val="18"/>
                <w:szCs w:val="18"/>
                <w:lang w:val="en-AU"/>
              </w:rPr>
              <w:t xml:space="preserve">directions sought or interlocutory </w:t>
            </w:r>
            <w:r>
              <w:rPr>
                <w:rFonts w:cs="Arial"/>
                <w:b/>
                <w:sz w:val="18"/>
                <w:szCs w:val="18"/>
                <w:lang w:val="en-AU"/>
              </w:rPr>
              <w:t>application</w:t>
            </w:r>
            <w:r w:rsidRPr="000C5B50">
              <w:rPr>
                <w:rFonts w:cs="Arial"/>
                <w:b/>
                <w:sz w:val="18"/>
                <w:szCs w:val="18"/>
                <w:lang w:val="en-AU"/>
              </w:rPr>
              <w:t xml:space="preserve"> </w:t>
            </w:r>
            <w:r w:rsidR="00152270">
              <w:rPr>
                <w:rFonts w:cs="Arial"/>
                <w:b/>
                <w:sz w:val="18"/>
                <w:szCs w:val="18"/>
                <w:lang w:val="en-AU"/>
              </w:rPr>
              <w:t xml:space="preserve">is </w:t>
            </w:r>
            <w:r w:rsidRPr="000C5B50">
              <w:rPr>
                <w:rFonts w:cs="Arial"/>
                <w:b/>
                <w:sz w:val="18"/>
                <w:szCs w:val="18"/>
                <w:lang w:val="en-AU"/>
              </w:rPr>
              <w:t xml:space="preserve">Opposed / Unopposed / Ex-Parte / </w:t>
            </w:r>
            <w:r>
              <w:rPr>
                <w:rFonts w:cs="Arial"/>
                <w:b/>
                <w:sz w:val="18"/>
                <w:szCs w:val="18"/>
                <w:lang w:val="en-AU"/>
              </w:rPr>
              <w:t>by c</w:t>
            </w:r>
            <w:r w:rsidRPr="000C5B50">
              <w:rPr>
                <w:rFonts w:cs="Arial"/>
                <w:b/>
                <w:sz w:val="18"/>
                <w:szCs w:val="18"/>
                <w:lang w:val="en-AU"/>
              </w:rPr>
              <w:t>onsent</w:t>
            </w:r>
            <w:r>
              <w:rPr>
                <w:rFonts w:cs="Arial"/>
                <w:b/>
                <w:sz w:val="18"/>
                <w:szCs w:val="18"/>
                <w:lang w:val="en-AU"/>
              </w:rPr>
              <w:t xml:space="preserve">: </w:t>
            </w:r>
          </w:p>
        </w:tc>
        <w:tc>
          <w:tcPr>
            <w:tcW w:w="5400" w:type="dxa"/>
          </w:tcPr>
          <w:p w:rsidR="00040EB7" w:rsidRDefault="00040EB7" w:rsidP="005408B7">
            <w:pPr>
              <w:pStyle w:val="Body"/>
              <w:spacing w:before="60" w:after="60"/>
              <w:rPr>
                <w:rFonts w:cs="Arial"/>
                <w:sz w:val="18"/>
                <w:szCs w:val="18"/>
                <w:lang w:val="en-AU"/>
              </w:rPr>
            </w:pPr>
          </w:p>
          <w:p w:rsidR="00010FD3" w:rsidRPr="000C5B50" w:rsidRDefault="00010FD3" w:rsidP="005408B7">
            <w:pPr>
              <w:pStyle w:val="Body"/>
              <w:spacing w:before="60" w:after="60"/>
              <w:rPr>
                <w:rFonts w:cs="Arial"/>
                <w:sz w:val="18"/>
                <w:szCs w:val="18"/>
                <w:lang w:val="en-AU"/>
              </w:rPr>
            </w:pPr>
          </w:p>
        </w:tc>
      </w:tr>
      <w:tr w:rsidR="00040EB7" w:rsidRPr="000C5B50" w:rsidTr="004E57F5">
        <w:tc>
          <w:tcPr>
            <w:tcW w:w="5310" w:type="dxa"/>
          </w:tcPr>
          <w:p w:rsidR="00040EB7" w:rsidRPr="000C5B50" w:rsidRDefault="00040EB7" w:rsidP="005408B7">
            <w:pPr>
              <w:pStyle w:val="Body"/>
              <w:spacing w:before="60" w:after="60"/>
              <w:rPr>
                <w:rFonts w:cs="Arial"/>
                <w:b/>
                <w:sz w:val="18"/>
                <w:szCs w:val="18"/>
                <w:lang w:val="en-AU"/>
              </w:rPr>
            </w:pPr>
            <w:r w:rsidRPr="000C5B50">
              <w:rPr>
                <w:rFonts w:cs="Arial"/>
                <w:b/>
                <w:sz w:val="18"/>
                <w:szCs w:val="18"/>
                <w:lang w:val="en-AU"/>
              </w:rPr>
              <w:t>Firm name:</w:t>
            </w:r>
          </w:p>
        </w:tc>
        <w:tc>
          <w:tcPr>
            <w:tcW w:w="5400" w:type="dxa"/>
          </w:tcPr>
          <w:p w:rsidR="00010FD3" w:rsidRPr="000C5B50" w:rsidRDefault="00010FD3" w:rsidP="005408B7">
            <w:pPr>
              <w:pStyle w:val="Body"/>
              <w:spacing w:before="60" w:after="60"/>
              <w:rPr>
                <w:rFonts w:cs="Arial"/>
                <w:sz w:val="18"/>
                <w:szCs w:val="18"/>
                <w:lang w:val="en-AU"/>
              </w:rPr>
            </w:pPr>
          </w:p>
        </w:tc>
      </w:tr>
      <w:tr w:rsidR="00040EB7" w:rsidRPr="000C5B50" w:rsidTr="004E57F5">
        <w:tc>
          <w:tcPr>
            <w:tcW w:w="5310" w:type="dxa"/>
          </w:tcPr>
          <w:p w:rsidR="00040EB7" w:rsidRPr="000C5B50" w:rsidRDefault="00040EB7" w:rsidP="005408B7">
            <w:pPr>
              <w:pStyle w:val="Body"/>
              <w:spacing w:before="60" w:after="60"/>
              <w:rPr>
                <w:rFonts w:cs="Arial"/>
                <w:b/>
                <w:sz w:val="18"/>
                <w:szCs w:val="18"/>
                <w:lang w:val="en-AU"/>
              </w:rPr>
            </w:pPr>
            <w:r w:rsidRPr="000C5B50">
              <w:rPr>
                <w:rFonts w:cs="Arial"/>
                <w:b/>
                <w:sz w:val="18"/>
                <w:szCs w:val="18"/>
                <w:lang w:val="en-AU"/>
              </w:rPr>
              <w:t>Practitioner with conduct:</w:t>
            </w:r>
          </w:p>
        </w:tc>
        <w:tc>
          <w:tcPr>
            <w:tcW w:w="5400" w:type="dxa"/>
          </w:tcPr>
          <w:p w:rsidR="00040EB7" w:rsidRDefault="00040EB7" w:rsidP="005408B7">
            <w:pPr>
              <w:pStyle w:val="Body"/>
              <w:spacing w:before="60" w:after="60"/>
              <w:rPr>
                <w:rFonts w:cs="Arial"/>
                <w:sz w:val="18"/>
                <w:szCs w:val="18"/>
                <w:lang w:val="en-AU"/>
              </w:rPr>
            </w:pPr>
          </w:p>
          <w:p w:rsidR="00010FD3" w:rsidRPr="000C5B50" w:rsidRDefault="00010FD3" w:rsidP="005408B7">
            <w:pPr>
              <w:pStyle w:val="Body"/>
              <w:spacing w:before="60" w:after="60"/>
              <w:rPr>
                <w:rFonts w:cs="Arial"/>
                <w:sz w:val="18"/>
                <w:szCs w:val="18"/>
                <w:lang w:val="en-AU"/>
              </w:rPr>
            </w:pPr>
          </w:p>
        </w:tc>
      </w:tr>
      <w:tr w:rsidR="00040EB7" w:rsidRPr="000C5B50" w:rsidTr="004E57F5">
        <w:tc>
          <w:tcPr>
            <w:tcW w:w="5310" w:type="dxa"/>
          </w:tcPr>
          <w:p w:rsidR="00040EB7" w:rsidRPr="000C5B50" w:rsidRDefault="00040EB7" w:rsidP="005408B7">
            <w:pPr>
              <w:pStyle w:val="Body"/>
              <w:spacing w:before="60" w:after="60"/>
              <w:rPr>
                <w:rFonts w:cs="Arial"/>
                <w:b/>
                <w:sz w:val="18"/>
                <w:szCs w:val="18"/>
                <w:lang w:val="en-AU"/>
              </w:rPr>
            </w:pPr>
            <w:r w:rsidRPr="000C5B50">
              <w:rPr>
                <w:rFonts w:cs="Arial"/>
                <w:b/>
                <w:sz w:val="18"/>
                <w:szCs w:val="18"/>
                <w:lang w:val="en-AU"/>
              </w:rPr>
              <w:t>Direct telephone number:</w:t>
            </w:r>
          </w:p>
        </w:tc>
        <w:tc>
          <w:tcPr>
            <w:tcW w:w="5400" w:type="dxa"/>
          </w:tcPr>
          <w:p w:rsidR="00010FD3" w:rsidRPr="000C5B50" w:rsidRDefault="00010FD3" w:rsidP="005408B7">
            <w:pPr>
              <w:pStyle w:val="Body"/>
              <w:spacing w:before="60" w:after="60"/>
              <w:rPr>
                <w:rFonts w:cs="Arial"/>
                <w:sz w:val="18"/>
                <w:szCs w:val="18"/>
                <w:lang w:val="en-AU"/>
              </w:rPr>
            </w:pPr>
          </w:p>
        </w:tc>
      </w:tr>
      <w:tr w:rsidR="00040EB7" w:rsidRPr="000C5B50" w:rsidTr="004E57F5">
        <w:tc>
          <w:tcPr>
            <w:tcW w:w="5310" w:type="dxa"/>
          </w:tcPr>
          <w:p w:rsidR="00040EB7" w:rsidRPr="000C5B50" w:rsidRDefault="00040EB7" w:rsidP="005408B7">
            <w:pPr>
              <w:pStyle w:val="Body"/>
              <w:spacing w:before="60" w:after="60"/>
              <w:rPr>
                <w:rFonts w:cs="Arial"/>
                <w:b/>
                <w:sz w:val="18"/>
                <w:szCs w:val="18"/>
                <w:lang w:val="en-AU"/>
              </w:rPr>
            </w:pPr>
            <w:r w:rsidRPr="000C5B50">
              <w:rPr>
                <w:rFonts w:cs="Arial"/>
                <w:b/>
                <w:sz w:val="18"/>
                <w:szCs w:val="18"/>
                <w:lang w:val="en-AU"/>
              </w:rPr>
              <w:t>Email address:</w:t>
            </w:r>
          </w:p>
        </w:tc>
        <w:tc>
          <w:tcPr>
            <w:tcW w:w="5400" w:type="dxa"/>
          </w:tcPr>
          <w:p w:rsidR="00010FD3" w:rsidRPr="000C5B50" w:rsidRDefault="00010FD3" w:rsidP="005408B7">
            <w:pPr>
              <w:pStyle w:val="Body"/>
              <w:spacing w:before="60" w:after="60"/>
              <w:rPr>
                <w:rFonts w:cs="Arial"/>
                <w:sz w:val="18"/>
                <w:szCs w:val="18"/>
                <w:lang w:val="en-AU"/>
              </w:rPr>
            </w:pPr>
          </w:p>
        </w:tc>
      </w:tr>
      <w:tr w:rsidR="00040EB7" w:rsidRPr="000C5B50" w:rsidTr="004E57F5">
        <w:tc>
          <w:tcPr>
            <w:tcW w:w="5310" w:type="dxa"/>
          </w:tcPr>
          <w:p w:rsidR="00040EB7" w:rsidRPr="000C5B50" w:rsidRDefault="00040EB7" w:rsidP="005408B7">
            <w:pPr>
              <w:pStyle w:val="Body"/>
              <w:spacing w:before="60" w:after="60"/>
              <w:rPr>
                <w:rFonts w:cs="Arial"/>
                <w:b/>
                <w:sz w:val="18"/>
                <w:szCs w:val="18"/>
                <w:lang w:val="en-AU"/>
              </w:rPr>
            </w:pPr>
            <w:r>
              <w:rPr>
                <w:rFonts w:cs="Arial"/>
                <w:b/>
                <w:sz w:val="18"/>
                <w:szCs w:val="18"/>
                <w:lang w:val="en-AU"/>
              </w:rPr>
              <w:t xml:space="preserve">Defendant/respondent contact details </w:t>
            </w:r>
            <w:r w:rsidRPr="00255B9E">
              <w:rPr>
                <w:rFonts w:cs="Arial"/>
                <w:sz w:val="18"/>
                <w:szCs w:val="18"/>
                <w:lang w:val="en-AU"/>
              </w:rPr>
              <w:t>(</w:t>
            </w:r>
            <w:r>
              <w:rPr>
                <w:rFonts w:cs="Arial"/>
                <w:sz w:val="18"/>
                <w:szCs w:val="18"/>
                <w:lang w:val="en-AU"/>
              </w:rPr>
              <w:t>email/phone if known</w:t>
            </w:r>
            <w:r w:rsidRPr="00255B9E">
              <w:rPr>
                <w:rFonts w:cs="Arial"/>
                <w:sz w:val="18"/>
                <w:szCs w:val="18"/>
                <w:lang w:val="en-AU"/>
              </w:rPr>
              <w:t>):</w:t>
            </w:r>
          </w:p>
        </w:tc>
        <w:tc>
          <w:tcPr>
            <w:tcW w:w="5400" w:type="dxa"/>
          </w:tcPr>
          <w:p w:rsidR="00040EB7" w:rsidRDefault="00040EB7" w:rsidP="005408B7">
            <w:pPr>
              <w:pStyle w:val="Body"/>
              <w:spacing w:before="60" w:after="60"/>
              <w:rPr>
                <w:rFonts w:cs="Arial"/>
                <w:sz w:val="18"/>
                <w:szCs w:val="18"/>
                <w:lang w:val="en-AU"/>
              </w:rPr>
            </w:pPr>
          </w:p>
          <w:p w:rsidR="00010FD3" w:rsidRDefault="00010FD3" w:rsidP="005408B7">
            <w:pPr>
              <w:pStyle w:val="Body"/>
              <w:spacing w:before="60" w:after="60"/>
              <w:rPr>
                <w:rFonts w:cs="Arial"/>
                <w:sz w:val="18"/>
                <w:szCs w:val="18"/>
                <w:lang w:val="en-AU"/>
              </w:rPr>
            </w:pPr>
          </w:p>
          <w:p w:rsidR="00010FD3" w:rsidRPr="000C5B50" w:rsidRDefault="00010FD3" w:rsidP="005408B7">
            <w:pPr>
              <w:pStyle w:val="Body"/>
              <w:spacing w:before="60" w:after="60"/>
              <w:rPr>
                <w:rFonts w:cs="Arial"/>
                <w:sz w:val="18"/>
                <w:szCs w:val="18"/>
                <w:lang w:val="en-AU"/>
              </w:rPr>
            </w:pPr>
          </w:p>
        </w:tc>
      </w:tr>
      <w:tr w:rsidR="00040EB7" w:rsidRPr="000C5B50" w:rsidTr="004E57F5">
        <w:trPr>
          <w:trHeight w:val="576"/>
        </w:trPr>
        <w:tc>
          <w:tcPr>
            <w:tcW w:w="5310" w:type="dxa"/>
          </w:tcPr>
          <w:p w:rsidR="00040EB7" w:rsidRPr="000C5B50" w:rsidRDefault="00040EB7" w:rsidP="005408B7">
            <w:pPr>
              <w:pStyle w:val="Body"/>
              <w:spacing w:before="60" w:after="60"/>
              <w:rPr>
                <w:rFonts w:cs="Arial"/>
                <w:b/>
                <w:sz w:val="18"/>
                <w:szCs w:val="18"/>
                <w:lang w:val="en-AU"/>
              </w:rPr>
            </w:pPr>
            <w:r>
              <w:rPr>
                <w:rFonts w:cs="Arial"/>
                <w:b/>
                <w:sz w:val="18"/>
                <w:szCs w:val="18"/>
                <w:lang w:val="en-AU"/>
              </w:rPr>
              <w:t>Date and signature:</w:t>
            </w:r>
          </w:p>
        </w:tc>
        <w:tc>
          <w:tcPr>
            <w:tcW w:w="5400" w:type="dxa"/>
          </w:tcPr>
          <w:p w:rsidR="00040EB7" w:rsidRPr="000C5B50" w:rsidRDefault="00040EB7" w:rsidP="005408B7">
            <w:pPr>
              <w:pStyle w:val="Body"/>
              <w:spacing w:before="60" w:after="60"/>
              <w:rPr>
                <w:rFonts w:cs="Arial"/>
                <w:sz w:val="18"/>
                <w:szCs w:val="18"/>
                <w:lang w:val="en-AU"/>
              </w:rPr>
            </w:pPr>
          </w:p>
        </w:tc>
      </w:tr>
      <w:bookmarkEnd w:id="0"/>
    </w:tbl>
    <w:p w:rsidR="00040EB7" w:rsidRPr="00F26921" w:rsidRDefault="00040EB7">
      <w:pPr>
        <w:spacing w:after="0"/>
        <w:jc w:val="both"/>
        <w:rPr>
          <w:rFonts w:ascii="Times New Roman" w:hAnsi="Times New Roman" w:cs="Times New Roman"/>
          <w:bCs/>
          <w:noProof/>
          <w:sz w:val="24"/>
          <w:szCs w:val="24"/>
        </w:rPr>
      </w:pPr>
    </w:p>
    <w:sectPr w:rsidR="00040EB7" w:rsidRPr="00F26921" w:rsidSect="004E57F5">
      <w:footerReference w:type="default" r:id="rId28"/>
      <w:footerReference w:type="first" r:id="rId29"/>
      <w:pgSz w:w="11906" w:h="16838"/>
      <w:pgMar w:top="360" w:right="1440" w:bottom="45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152" w:rsidRDefault="00080152" w:rsidP="00270D25">
      <w:pPr>
        <w:spacing w:after="0" w:line="240" w:lineRule="auto"/>
      </w:pPr>
      <w:r>
        <w:separator/>
      </w:r>
    </w:p>
  </w:endnote>
  <w:endnote w:type="continuationSeparator" w:id="0">
    <w:p w:rsidR="00080152" w:rsidRDefault="00080152" w:rsidP="00270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171071367"/>
      <w:docPartObj>
        <w:docPartGallery w:val="Page Numbers (Bottom of Page)"/>
        <w:docPartUnique/>
      </w:docPartObj>
    </w:sdtPr>
    <w:sdtEndPr>
      <w:rPr>
        <w:noProof/>
      </w:rPr>
    </w:sdtEndPr>
    <w:sdtContent>
      <w:p w:rsidR="009823E4" w:rsidRDefault="00092608" w:rsidP="00F26921">
        <w:pPr>
          <w:pStyle w:val="Footer"/>
        </w:pPr>
        <w:r>
          <w:rPr>
            <w:rFonts w:ascii="Times New Roman" w:hAnsi="Times New Roman" w:cs="Times New Roman"/>
            <w:sz w:val="20"/>
            <w:szCs w:val="20"/>
          </w:rPr>
          <w:t xml:space="preserve"> </w:t>
        </w:r>
        <w:r w:rsidR="0067586E">
          <w:rPr>
            <w:rFonts w:ascii="Times New Roman" w:hAnsi="Times New Roman" w:cs="Times New Roman"/>
            <w:i/>
            <w:sz w:val="20"/>
            <w:szCs w:val="20"/>
          </w:rPr>
          <w:tab/>
        </w:r>
        <w:r w:rsidR="00792C16" w:rsidRPr="00376FD3">
          <w:rPr>
            <w:rFonts w:ascii="Times New Roman" w:hAnsi="Times New Roman" w:cs="Times New Roman"/>
            <w:sz w:val="20"/>
            <w:szCs w:val="20"/>
          </w:rPr>
          <w:t xml:space="preserve"> </w:t>
        </w:r>
        <w:r w:rsidR="00792C16" w:rsidRPr="00376FD3">
          <w:rPr>
            <w:rFonts w:ascii="Times New Roman" w:hAnsi="Times New Roman" w:cs="Times New Roman"/>
            <w:sz w:val="20"/>
            <w:szCs w:val="20"/>
          </w:rPr>
          <w:tab/>
        </w:r>
        <w:r w:rsidR="00792C16" w:rsidRPr="00376FD3">
          <w:rPr>
            <w:rFonts w:ascii="Times New Roman" w:hAnsi="Times New Roman" w:cs="Times New Roman"/>
            <w:bCs/>
            <w:sz w:val="20"/>
            <w:szCs w:val="20"/>
          </w:rPr>
          <w:fldChar w:fldCharType="begin"/>
        </w:r>
        <w:r w:rsidR="00792C16" w:rsidRPr="00376FD3">
          <w:rPr>
            <w:rFonts w:ascii="Times New Roman" w:hAnsi="Times New Roman" w:cs="Times New Roman"/>
            <w:bCs/>
            <w:sz w:val="20"/>
            <w:szCs w:val="20"/>
          </w:rPr>
          <w:instrText xml:space="preserve"> PAGE  \* Arabic  \* MERGEFORMAT </w:instrText>
        </w:r>
        <w:r w:rsidR="00792C16" w:rsidRPr="00376FD3">
          <w:rPr>
            <w:rFonts w:ascii="Times New Roman" w:hAnsi="Times New Roman" w:cs="Times New Roman"/>
            <w:bCs/>
            <w:sz w:val="20"/>
            <w:szCs w:val="20"/>
          </w:rPr>
          <w:fldChar w:fldCharType="separate"/>
        </w:r>
        <w:r w:rsidR="00185CA8">
          <w:rPr>
            <w:rFonts w:ascii="Times New Roman" w:hAnsi="Times New Roman" w:cs="Times New Roman"/>
            <w:bCs/>
            <w:noProof/>
            <w:sz w:val="20"/>
            <w:szCs w:val="20"/>
          </w:rPr>
          <w:t>3</w:t>
        </w:r>
        <w:r w:rsidR="00792C16" w:rsidRPr="00376FD3">
          <w:rPr>
            <w:rFonts w:ascii="Times New Roman" w:hAnsi="Times New Roman" w:cs="Times New Roman"/>
            <w:bCs/>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236908546"/>
      <w:docPartObj>
        <w:docPartGallery w:val="Page Numbers (Bottom of Page)"/>
        <w:docPartUnique/>
      </w:docPartObj>
    </w:sdtPr>
    <w:sdtEndPr>
      <w:rPr>
        <w:noProof/>
      </w:rPr>
    </w:sdtEndPr>
    <w:sdtContent>
      <w:p w:rsidR="00792C16" w:rsidRPr="00792C16" w:rsidRDefault="00792C16" w:rsidP="00792C16">
        <w:pPr>
          <w:pStyle w:val="Footer"/>
          <w:jc w:val="right"/>
          <w:rPr>
            <w:rFonts w:ascii="Times New Roman" w:hAnsi="Times New Roman" w:cs="Times New Roman"/>
            <w:sz w:val="20"/>
            <w:szCs w:val="20"/>
          </w:rPr>
        </w:pPr>
        <w:r w:rsidRPr="00792C16">
          <w:rPr>
            <w:rFonts w:ascii="Times New Roman" w:hAnsi="Times New Roman" w:cs="Times New Roman"/>
            <w:sz w:val="20"/>
            <w:szCs w:val="20"/>
          </w:rPr>
          <w:tab/>
        </w:r>
        <w:r w:rsidRPr="00376FD3">
          <w:rPr>
            <w:rFonts w:ascii="Times New Roman" w:hAnsi="Times New Roman" w:cs="Times New Roman"/>
            <w:bCs/>
            <w:sz w:val="20"/>
            <w:szCs w:val="20"/>
          </w:rPr>
          <w:fldChar w:fldCharType="begin"/>
        </w:r>
        <w:r w:rsidRPr="00376FD3">
          <w:rPr>
            <w:rFonts w:ascii="Times New Roman" w:hAnsi="Times New Roman" w:cs="Times New Roman"/>
            <w:bCs/>
            <w:sz w:val="20"/>
            <w:szCs w:val="20"/>
          </w:rPr>
          <w:instrText xml:space="preserve"> PAGE  \* Arabic  \* MERGEFORMAT </w:instrText>
        </w:r>
        <w:r w:rsidRPr="00376FD3">
          <w:rPr>
            <w:rFonts w:ascii="Times New Roman" w:hAnsi="Times New Roman" w:cs="Times New Roman"/>
            <w:bCs/>
            <w:sz w:val="20"/>
            <w:szCs w:val="20"/>
          </w:rPr>
          <w:fldChar w:fldCharType="separate"/>
        </w:r>
        <w:r w:rsidR="00185CA8">
          <w:rPr>
            <w:rFonts w:ascii="Times New Roman" w:hAnsi="Times New Roman" w:cs="Times New Roman"/>
            <w:bCs/>
            <w:noProof/>
            <w:sz w:val="20"/>
            <w:szCs w:val="20"/>
          </w:rPr>
          <w:t>1</w:t>
        </w:r>
        <w:r w:rsidRPr="00376FD3">
          <w:rPr>
            <w:rFonts w:ascii="Times New Roman" w:hAnsi="Times New Roman" w:cs="Times New Roman"/>
            <w:bCs/>
            <w:sz w:val="20"/>
            <w:szCs w:val="20"/>
          </w:rPr>
          <w:fldChar w:fldCharType="end"/>
        </w:r>
        <w:r w:rsidRPr="00376FD3">
          <w:rPr>
            <w:rFonts w:ascii="Times New Roman" w:hAnsi="Times New Roman" w:cs="Times New Roman"/>
            <w:sz w:val="20"/>
            <w:szCs w:val="20"/>
          </w:rPr>
          <w:t xml:space="preserve"> </w:t>
        </w:r>
      </w:p>
    </w:sdtContent>
  </w:sdt>
  <w:p w:rsidR="00792C16" w:rsidRDefault="00792C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921" w:rsidRDefault="00F26921" w:rsidP="00F2692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EB7" w:rsidRDefault="00040E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152" w:rsidRDefault="00080152" w:rsidP="00270D25">
      <w:pPr>
        <w:spacing w:after="0" w:line="240" w:lineRule="auto"/>
      </w:pPr>
      <w:r>
        <w:separator/>
      </w:r>
    </w:p>
  </w:footnote>
  <w:footnote w:type="continuationSeparator" w:id="0">
    <w:p w:rsidR="00080152" w:rsidRDefault="00080152" w:rsidP="00270D25">
      <w:pPr>
        <w:spacing w:after="0" w:line="240" w:lineRule="auto"/>
      </w:pPr>
      <w:r>
        <w:continuationSeparator/>
      </w:r>
    </w:p>
  </w:footnote>
  <w:footnote w:id="1">
    <w:p w:rsidR="00040EB7" w:rsidRPr="008F01AC" w:rsidRDefault="00040EB7" w:rsidP="00040EB7">
      <w:pPr>
        <w:pStyle w:val="FootnoteText"/>
        <w:ind w:left="-900" w:right="-1144"/>
        <w:rPr>
          <w:rFonts w:ascii="Arial" w:hAnsi="Arial" w:cs="Arial"/>
        </w:rPr>
      </w:pPr>
      <w:r w:rsidRPr="009A0354">
        <w:rPr>
          <w:rStyle w:val="FootnoteReference"/>
          <w:sz w:val="18"/>
        </w:rPr>
        <w:footnoteRef/>
      </w:r>
      <w:r w:rsidRPr="009A0354">
        <w:rPr>
          <w:sz w:val="18"/>
        </w:rPr>
        <w:t xml:space="preserve"> </w:t>
      </w:r>
      <w:r w:rsidRPr="009A0354">
        <w:rPr>
          <w:rFonts w:ascii="Arial" w:hAnsi="Arial" w:cs="Arial"/>
          <w:sz w:val="16"/>
          <w:szCs w:val="18"/>
        </w:rPr>
        <w:t xml:space="preserve">The applicant must notify the court immediately upon becoming aware that the hearing is no longer required, has become a consent matter, is no longer opposed or if the hearing estimate has been revised in any way, by contacting </w:t>
      </w:r>
      <w:hyperlink r:id="rId1" w:history="1">
        <w:r w:rsidRPr="009A0354">
          <w:rPr>
            <w:rStyle w:val="Hyperlink"/>
            <w:rFonts w:ascii="Arial" w:hAnsi="Arial" w:cs="Arial"/>
            <w:sz w:val="16"/>
            <w:szCs w:val="18"/>
          </w:rPr>
          <w:t>judicialreview@supcourt.vic.gov.au</w:t>
        </w:r>
      </w:hyperlink>
      <w:r w:rsidRPr="009A0354">
        <w:rPr>
          <w:rFonts w:ascii="Arial" w:hAnsi="Arial" w:cs="Arial"/>
          <w:sz w:val="16"/>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4E7" w:rsidRDefault="006F24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C16" w:rsidRPr="00792C16" w:rsidRDefault="00792C16" w:rsidP="00792C16">
    <w:pPr>
      <w:pStyle w:val="Header"/>
      <w:jc w:val="right"/>
      <w:rPr>
        <w:rFonts w:ascii="Times New Roman" w:hAnsi="Times New Roman" w:cs="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4E7" w:rsidRDefault="006F24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7588"/>
    <w:multiLevelType w:val="hybridMultilevel"/>
    <w:tmpl w:val="51D27086"/>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011411"/>
    <w:multiLevelType w:val="hybridMultilevel"/>
    <w:tmpl w:val="208290D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0" w:hanging="360"/>
      </w:pPr>
    </w:lvl>
    <w:lvl w:ilvl="2" w:tplc="0C09001B" w:tentative="1">
      <w:start w:val="1"/>
      <w:numFmt w:val="lowerRoman"/>
      <w:lvlText w:val="%3."/>
      <w:lvlJc w:val="right"/>
      <w:pPr>
        <w:ind w:left="720" w:hanging="180"/>
      </w:pPr>
    </w:lvl>
    <w:lvl w:ilvl="3" w:tplc="0C09000F" w:tentative="1">
      <w:start w:val="1"/>
      <w:numFmt w:val="decimal"/>
      <w:lvlText w:val="%4."/>
      <w:lvlJc w:val="left"/>
      <w:pPr>
        <w:ind w:left="1440" w:hanging="360"/>
      </w:pPr>
    </w:lvl>
    <w:lvl w:ilvl="4" w:tplc="0C090019" w:tentative="1">
      <w:start w:val="1"/>
      <w:numFmt w:val="lowerLetter"/>
      <w:lvlText w:val="%5."/>
      <w:lvlJc w:val="left"/>
      <w:pPr>
        <w:ind w:left="2160" w:hanging="360"/>
      </w:pPr>
    </w:lvl>
    <w:lvl w:ilvl="5" w:tplc="0C09001B" w:tentative="1">
      <w:start w:val="1"/>
      <w:numFmt w:val="lowerRoman"/>
      <w:lvlText w:val="%6."/>
      <w:lvlJc w:val="right"/>
      <w:pPr>
        <w:ind w:left="2880" w:hanging="180"/>
      </w:pPr>
    </w:lvl>
    <w:lvl w:ilvl="6" w:tplc="0C09000F" w:tentative="1">
      <w:start w:val="1"/>
      <w:numFmt w:val="decimal"/>
      <w:lvlText w:val="%7."/>
      <w:lvlJc w:val="left"/>
      <w:pPr>
        <w:ind w:left="3600" w:hanging="360"/>
      </w:pPr>
    </w:lvl>
    <w:lvl w:ilvl="7" w:tplc="0C090019" w:tentative="1">
      <w:start w:val="1"/>
      <w:numFmt w:val="lowerLetter"/>
      <w:lvlText w:val="%8."/>
      <w:lvlJc w:val="left"/>
      <w:pPr>
        <w:ind w:left="4320" w:hanging="360"/>
      </w:pPr>
    </w:lvl>
    <w:lvl w:ilvl="8" w:tplc="0C09001B" w:tentative="1">
      <w:start w:val="1"/>
      <w:numFmt w:val="lowerRoman"/>
      <w:lvlText w:val="%9."/>
      <w:lvlJc w:val="right"/>
      <w:pPr>
        <w:ind w:left="5040" w:hanging="180"/>
      </w:pPr>
    </w:lvl>
  </w:abstractNum>
  <w:abstractNum w:abstractNumId="2" w15:restartNumberingAfterBreak="0">
    <w:nsid w:val="17DA477F"/>
    <w:multiLevelType w:val="hybridMultilevel"/>
    <w:tmpl w:val="2C24B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8A24D1"/>
    <w:multiLevelType w:val="hybridMultilevel"/>
    <w:tmpl w:val="DD244BC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D522F0"/>
    <w:multiLevelType w:val="hybridMultilevel"/>
    <w:tmpl w:val="1EACF0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AC43228"/>
    <w:multiLevelType w:val="hybridMultilevel"/>
    <w:tmpl w:val="C284FA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CE4363C"/>
    <w:multiLevelType w:val="hybridMultilevel"/>
    <w:tmpl w:val="D85CE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D14953"/>
    <w:multiLevelType w:val="hybridMultilevel"/>
    <w:tmpl w:val="65806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CFB5880"/>
    <w:multiLevelType w:val="hybridMultilevel"/>
    <w:tmpl w:val="FAF886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E2D326C"/>
    <w:multiLevelType w:val="hybridMultilevel"/>
    <w:tmpl w:val="03F29E7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93D1A21"/>
    <w:multiLevelType w:val="hybridMultilevel"/>
    <w:tmpl w:val="27987F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F4B63A0"/>
    <w:multiLevelType w:val="hybridMultilevel"/>
    <w:tmpl w:val="66207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569201F"/>
    <w:multiLevelType w:val="hybridMultilevel"/>
    <w:tmpl w:val="0C94052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6"/>
  </w:num>
  <w:num w:numId="3">
    <w:abstractNumId w:val="11"/>
  </w:num>
  <w:num w:numId="4">
    <w:abstractNumId w:val="5"/>
  </w:num>
  <w:num w:numId="5">
    <w:abstractNumId w:val="4"/>
  </w:num>
  <w:num w:numId="6">
    <w:abstractNumId w:val="1"/>
  </w:num>
  <w:num w:numId="7">
    <w:abstractNumId w:val="8"/>
  </w:num>
  <w:num w:numId="8">
    <w:abstractNumId w:val="2"/>
  </w:num>
  <w:num w:numId="9">
    <w:abstractNumId w:val="3"/>
  </w:num>
  <w:num w:numId="10">
    <w:abstractNumId w:val="12"/>
  </w:num>
  <w:num w:numId="11">
    <w:abstractNumId w:val="9"/>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4F2"/>
    <w:rsid w:val="00010FD3"/>
    <w:rsid w:val="00040EB7"/>
    <w:rsid w:val="000454A2"/>
    <w:rsid w:val="00054B4C"/>
    <w:rsid w:val="00071B54"/>
    <w:rsid w:val="00075B0E"/>
    <w:rsid w:val="00080004"/>
    <w:rsid w:val="00080152"/>
    <w:rsid w:val="00082E94"/>
    <w:rsid w:val="00092608"/>
    <w:rsid w:val="000A32D8"/>
    <w:rsid w:val="000A71AC"/>
    <w:rsid w:val="000B4C00"/>
    <w:rsid w:val="000B50D6"/>
    <w:rsid w:val="000C0721"/>
    <w:rsid w:val="000D44DD"/>
    <w:rsid w:val="0010305C"/>
    <w:rsid w:val="00106D9C"/>
    <w:rsid w:val="0012347D"/>
    <w:rsid w:val="00131D76"/>
    <w:rsid w:val="001349EB"/>
    <w:rsid w:val="00151B8C"/>
    <w:rsid w:val="00152270"/>
    <w:rsid w:val="00157399"/>
    <w:rsid w:val="001670FE"/>
    <w:rsid w:val="001730CA"/>
    <w:rsid w:val="00185CA8"/>
    <w:rsid w:val="001D38A5"/>
    <w:rsid w:val="001D769F"/>
    <w:rsid w:val="001E2325"/>
    <w:rsid w:val="001E56E4"/>
    <w:rsid w:val="001E7B94"/>
    <w:rsid w:val="00215381"/>
    <w:rsid w:val="00230899"/>
    <w:rsid w:val="00230E15"/>
    <w:rsid w:val="00230F7F"/>
    <w:rsid w:val="00232078"/>
    <w:rsid w:val="0023337C"/>
    <w:rsid w:val="00237CC5"/>
    <w:rsid w:val="00252E3F"/>
    <w:rsid w:val="00260F42"/>
    <w:rsid w:val="00264AB9"/>
    <w:rsid w:val="00265790"/>
    <w:rsid w:val="00270D25"/>
    <w:rsid w:val="00271B8F"/>
    <w:rsid w:val="00275D5C"/>
    <w:rsid w:val="0028493B"/>
    <w:rsid w:val="0029684F"/>
    <w:rsid w:val="002B3DD3"/>
    <w:rsid w:val="002C4DA3"/>
    <w:rsid w:val="002D0D4B"/>
    <w:rsid w:val="002D19B9"/>
    <w:rsid w:val="00305B20"/>
    <w:rsid w:val="0033413D"/>
    <w:rsid w:val="0034416C"/>
    <w:rsid w:val="00346DDB"/>
    <w:rsid w:val="003501F8"/>
    <w:rsid w:val="0036016E"/>
    <w:rsid w:val="00366960"/>
    <w:rsid w:val="0037198F"/>
    <w:rsid w:val="00374899"/>
    <w:rsid w:val="00376FD3"/>
    <w:rsid w:val="0038456B"/>
    <w:rsid w:val="003940A7"/>
    <w:rsid w:val="003A3F8A"/>
    <w:rsid w:val="003B79FA"/>
    <w:rsid w:val="003C797F"/>
    <w:rsid w:val="003D1E9B"/>
    <w:rsid w:val="003F2550"/>
    <w:rsid w:val="00402336"/>
    <w:rsid w:val="00422153"/>
    <w:rsid w:val="00433C65"/>
    <w:rsid w:val="00446021"/>
    <w:rsid w:val="00461C39"/>
    <w:rsid w:val="00466C0D"/>
    <w:rsid w:val="00475467"/>
    <w:rsid w:val="00477673"/>
    <w:rsid w:val="00496E1D"/>
    <w:rsid w:val="004A60CC"/>
    <w:rsid w:val="004A7684"/>
    <w:rsid w:val="004C1E8C"/>
    <w:rsid w:val="004E17E9"/>
    <w:rsid w:val="004E57F5"/>
    <w:rsid w:val="004F77A0"/>
    <w:rsid w:val="00500A50"/>
    <w:rsid w:val="005033B3"/>
    <w:rsid w:val="005062E1"/>
    <w:rsid w:val="005115C5"/>
    <w:rsid w:val="005121E2"/>
    <w:rsid w:val="00513E05"/>
    <w:rsid w:val="005273A8"/>
    <w:rsid w:val="0052758A"/>
    <w:rsid w:val="00540D3A"/>
    <w:rsid w:val="0056242B"/>
    <w:rsid w:val="00564BAA"/>
    <w:rsid w:val="005658F2"/>
    <w:rsid w:val="00565A2C"/>
    <w:rsid w:val="00567016"/>
    <w:rsid w:val="00585DCD"/>
    <w:rsid w:val="005A10F0"/>
    <w:rsid w:val="005A20A7"/>
    <w:rsid w:val="005C04BB"/>
    <w:rsid w:val="005C13CC"/>
    <w:rsid w:val="005C7732"/>
    <w:rsid w:val="005F1AF2"/>
    <w:rsid w:val="005F286E"/>
    <w:rsid w:val="0060005D"/>
    <w:rsid w:val="00603012"/>
    <w:rsid w:val="00603B8C"/>
    <w:rsid w:val="006041D7"/>
    <w:rsid w:val="00606BDD"/>
    <w:rsid w:val="00624744"/>
    <w:rsid w:val="0064588C"/>
    <w:rsid w:val="00650645"/>
    <w:rsid w:val="00656564"/>
    <w:rsid w:val="00656C33"/>
    <w:rsid w:val="0066652C"/>
    <w:rsid w:val="0067094E"/>
    <w:rsid w:val="0067586E"/>
    <w:rsid w:val="006809BE"/>
    <w:rsid w:val="00686477"/>
    <w:rsid w:val="006922E2"/>
    <w:rsid w:val="006D1DA1"/>
    <w:rsid w:val="006E0A8E"/>
    <w:rsid w:val="006E2190"/>
    <w:rsid w:val="006F24E7"/>
    <w:rsid w:val="00717A86"/>
    <w:rsid w:val="00750C38"/>
    <w:rsid w:val="007663FE"/>
    <w:rsid w:val="00792C16"/>
    <w:rsid w:val="007B438D"/>
    <w:rsid w:val="007B54F2"/>
    <w:rsid w:val="007B5DF8"/>
    <w:rsid w:val="007B7F06"/>
    <w:rsid w:val="007C1D16"/>
    <w:rsid w:val="007C7DC6"/>
    <w:rsid w:val="007D29D4"/>
    <w:rsid w:val="007D3ECB"/>
    <w:rsid w:val="007D49F6"/>
    <w:rsid w:val="007E175B"/>
    <w:rsid w:val="007F4299"/>
    <w:rsid w:val="007F680C"/>
    <w:rsid w:val="008010EF"/>
    <w:rsid w:val="008043C3"/>
    <w:rsid w:val="0081362F"/>
    <w:rsid w:val="008165DA"/>
    <w:rsid w:val="00835D87"/>
    <w:rsid w:val="00853A3B"/>
    <w:rsid w:val="008574EF"/>
    <w:rsid w:val="00864402"/>
    <w:rsid w:val="00870A5E"/>
    <w:rsid w:val="008741A4"/>
    <w:rsid w:val="00874810"/>
    <w:rsid w:val="00876D76"/>
    <w:rsid w:val="00881ED0"/>
    <w:rsid w:val="008A0888"/>
    <w:rsid w:val="008E66DD"/>
    <w:rsid w:val="009034E0"/>
    <w:rsid w:val="0091375D"/>
    <w:rsid w:val="00950064"/>
    <w:rsid w:val="00950249"/>
    <w:rsid w:val="00951DBF"/>
    <w:rsid w:val="00951FAA"/>
    <w:rsid w:val="00963A07"/>
    <w:rsid w:val="0096608C"/>
    <w:rsid w:val="00973024"/>
    <w:rsid w:val="00981951"/>
    <w:rsid w:val="009823E4"/>
    <w:rsid w:val="009B6AA8"/>
    <w:rsid w:val="009E008E"/>
    <w:rsid w:val="009E3B1B"/>
    <w:rsid w:val="009E5F0A"/>
    <w:rsid w:val="009F1402"/>
    <w:rsid w:val="009F34BC"/>
    <w:rsid w:val="00A02B42"/>
    <w:rsid w:val="00A02F28"/>
    <w:rsid w:val="00A03861"/>
    <w:rsid w:val="00A04894"/>
    <w:rsid w:val="00A3540C"/>
    <w:rsid w:val="00A47510"/>
    <w:rsid w:val="00A504DF"/>
    <w:rsid w:val="00A517B4"/>
    <w:rsid w:val="00A609FC"/>
    <w:rsid w:val="00A629F0"/>
    <w:rsid w:val="00A92DFC"/>
    <w:rsid w:val="00AA1ED1"/>
    <w:rsid w:val="00AA4AA9"/>
    <w:rsid w:val="00AC2CCA"/>
    <w:rsid w:val="00AF3018"/>
    <w:rsid w:val="00B035F0"/>
    <w:rsid w:val="00B133B0"/>
    <w:rsid w:val="00B13C09"/>
    <w:rsid w:val="00B2423B"/>
    <w:rsid w:val="00B2517B"/>
    <w:rsid w:val="00B3056E"/>
    <w:rsid w:val="00B30595"/>
    <w:rsid w:val="00B50375"/>
    <w:rsid w:val="00B5578D"/>
    <w:rsid w:val="00B65004"/>
    <w:rsid w:val="00B8480B"/>
    <w:rsid w:val="00BB4961"/>
    <w:rsid w:val="00BC022E"/>
    <w:rsid w:val="00BC21D2"/>
    <w:rsid w:val="00BC57C6"/>
    <w:rsid w:val="00BD214F"/>
    <w:rsid w:val="00BD55DB"/>
    <w:rsid w:val="00BD6E46"/>
    <w:rsid w:val="00BE049D"/>
    <w:rsid w:val="00BF6A90"/>
    <w:rsid w:val="00BF7AC3"/>
    <w:rsid w:val="00BF7E13"/>
    <w:rsid w:val="00C5230C"/>
    <w:rsid w:val="00C53C9E"/>
    <w:rsid w:val="00C61E17"/>
    <w:rsid w:val="00C96892"/>
    <w:rsid w:val="00CA788C"/>
    <w:rsid w:val="00CB0821"/>
    <w:rsid w:val="00CB443F"/>
    <w:rsid w:val="00CC2FDB"/>
    <w:rsid w:val="00CD39D5"/>
    <w:rsid w:val="00CE0AA6"/>
    <w:rsid w:val="00CF2112"/>
    <w:rsid w:val="00D065D6"/>
    <w:rsid w:val="00D137C0"/>
    <w:rsid w:val="00D1750B"/>
    <w:rsid w:val="00D2329C"/>
    <w:rsid w:val="00D24FD0"/>
    <w:rsid w:val="00D32BF3"/>
    <w:rsid w:val="00D37F0C"/>
    <w:rsid w:val="00D40552"/>
    <w:rsid w:val="00D63CD6"/>
    <w:rsid w:val="00D85977"/>
    <w:rsid w:val="00DA64D7"/>
    <w:rsid w:val="00DA72BE"/>
    <w:rsid w:val="00DA7F98"/>
    <w:rsid w:val="00DC159C"/>
    <w:rsid w:val="00DC168B"/>
    <w:rsid w:val="00DD2656"/>
    <w:rsid w:val="00DD7C88"/>
    <w:rsid w:val="00DE407E"/>
    <w:rsid w:val="00DF368C"/>
    <w:rsid w:val="00DF3844"/>
    <w:rsid w:val="00DF5752"/>
    <w:rsid w:val="00DF7BFC"/>
    <w:rsid w:val="00E03333"/>
    <w:rsid w:val="00E04FA5"/>
    <w:rsid w:val="00E11E9F"/>
    <w:rsid w:val="00E24AB3"/>
    <w:rsid w:val="00E45DC2"/>
    <w:rsid w:val="00E52D5D"/>
    <w:rsid w:val="00E622E0"/>
    <w:rsid w:val="00E85145"/>
    <w:rsid w:val="00EB1FB1"/>
    <w:rsid w:val="00EC589B"/>
    <w:rsid w:val="00ED2493"/>
    <w:rsid w:val="00EE1F6B"/>
    <w:rsid w:val="00EE434D"/>
    <w:rsid w:val="00EF70A2"/>
    <w:rsid w:val="00F02223"/>
    <w:rsid w:val="00F13A3C"/>
    <w:rsid w:val="00F24602"/>
    <w:rsid w:val="00F26921"/>
    <w:rsid w:val="00F34D48"/>
    <w:rsid w:val="00F35B91"/>
    <w:rsid w:val="00F403B8"/>
    <w:rsid w:val="00F40C2E"/>
    <w:rsid w:val="00F4110D"/>
    <w:rsid w:val="00F50E92"/>
    <w:rsid w:val="00F727B7"/>
    <w:rsid w:val="00F773D5"/>
    <w:rsid w:val="00F93F23"/>
    <w:rsid w:val="00FB08B3"/>
    <w:rsid w:val="00FB1A5C"/>
    <w:rsid w:val="00FD0ADF"/>
    <w:rsid w:val="00FD5622"/>
    <w:rsid w:val="00FF392E"/>
    <w:rsid w:val="00FF52E0"/>
    <w:rsid w:val="00FF57D1"/>
    <w:rsid w:val="00FF6A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7132D"/>
  <w15:docId w15:val="{FC2A8F50-472E-41D7-9962-AEB4D7D6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29C"/>
    <w:pPr>
      <w:ind w:left="720"/>
      <w:contextualSpacing/>
    </w:pPr>
  </w:style>
  <w:style w:type="paragraph" w:styleId="BalloonText">
    <w:name w:val="Balloon Text"/>
    <w:basedOn w:val="Normal"/>
    <w:link w:val="BalloonTextChar"/>
    <w:uiPriority w:val="99"/>
    <w:semiHidden/>
    <w:unhideWhenUsed/>
    <w:rsid w:val="00270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D25"/>
    <w:rPr>
      <w:rFonts w:ascii="Tahoma" w:hAnsi="Tahoma" w:cs="Tahoma"/>
      <w:sz w:val="16"/>
      <w:szCs w:val="16"/>
    </w:rPr>
  </w:style>
  <w:style w:type="paragraph" w:styleId="Header">
    <w:name w:val="header"/>
    <w:basedOn w:val="Normal"/>
    <w:link w:val="HeaderChar"/>
    <w:unhideWhenUsed/>
    <w:rsid w:val="00270D25"/>
    <w:pPr>
      <w:tabs>
        <w:tab w:val="center" w:pos="4513"/>
        <w:tab w:val="right" w:pos="9026"/>
      </w:tabs>
      <w:spacing w:after="0" w:line="240" w:lineRule="auto"/>
    </w:pPr>
  </w:style>
  <w:style w:type="character" w:customStyle="1" w:styleId="HeaderChar">
    <w:name w:val="Header Char"/>
    <w:basedOn w:val="DefaultParagraphFont"/>
    <w:link w:val="Header"/>
    <w:rsid w:val="00270D25"/>
  </w:style>
  <w:style w:type="paragraph" w:styleId="Footer">
    <w:name w:val="footer"/>
    <w:basedOn w:val="Normal"/>
    <w:link w:val="FooterChar"/>
    <w:uiPriority w:val="99"/>
    <w:unhideWhenUsed/>
    <w:rsid w:val="00270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D25"/>
  </w:style>
  <w:style w:type="character" w:styleId="CommentReference">
    <w:name w:val="annotation reference"/>
    <w:basedOn w:val="DefaultParagraphFont"/>
    <w:uiPriority w:val="99"/>
    <w:semiHidden/>
    <w:unhideWhenUsed/>
    <w:rsid w:val="00E85145"/>
    <w:rPr>
      <w:sz w:val="16"/>
      <w:szCs w:val="16"/>
    </w:rPr>
  </w:style>
  <w:style w:type="paragraph" w:styleId="CommentText">
    <w:name w:val="annotation text"/>
    <w:basedOn w:val="Normal"/>
    <w:link w:val="CommentTextChar"/>
    <w:uiPriority w:val="99"/>
    <w:semiHidden/>
    <w:unhideWhenUsed/>
    <w:rsid w:val="00E85145"/>
    <w:pPr>
      <w:spacing w:line="240" w:lineRule="auto"/>
    </w:pPr>
    <w:rPr>
      <w:sz w:val="20"/>
      <w:szCs w:val="20"/>
    </w:rPr>
  </w:style>
  <w:style w:type="character" w:customStyle="1" w:styleId="CommentTextChar">
    <w:name w:val="Comment Text Char"/>
    <w:basedOn w:val="DefaultParagraphFont"/>
    <w:link w:val="CommentText"/>
    <w:uiPriority w:val="99"/>
    <w:semiHidden/>
    <w:rsid w:val="00E85145"/>
    <w:rPr>
      <w:sz w:val="20"/>
      <w:szCs w:val="20"/>
    </w:rPr>
  </w:style>
  <w:style w:type="paragraph" w:styleId="CommentSubject">
    <w:name w:val="annotation subject"/>
    <w:basedOn w:val="CommentText"/>
    <w:next w:val="CommentText"/>
    <w:link w:val="CommentSubjectChar"/>
    <w:uiPriority w:val="99"/>
    <w:semiHidden/>
    <w:unhideWhenUsed/>
    <w:rsid w:val="00E85145"/>
    <w:rPr>
      <w:b/>
      <w:bCs/>
    </w:rPr>
  </w:style>
  <w:style w:type="character" w:customStyle="1" w:styleId="CommentSubjectChar">
    <w:name w:val="Comment Subject Char"/>
    <w:basedOn w:val="CommentTextChar"/>
    <w:link w:val="CommentSubject"/>
    <w:uiPriority w:val="99"/>
    <w:semiHidden/>
    <w:rsid w:val="00E85145"/>
    <w:rPr>
      <w:b/>
      <w:bCs/>
      <w:sz w:val="20"/>
      <w:szCs w:val="20"/>
    </w:rPr>
  </w:style>
  <w:style w:type="paragraph" w:styleId="FootnoteText">
    <w:name w:val="footnote text"/>
    <w:basedOn w:val="Normal"/>
    <w:link w:val="FootnoteTextChar"/>
    <w:uiPriority w:val="99"/>
    <w:semiHidden/>
    <w:unhideWhenUsed/>
    <w:rsid w:val="00BF7E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7E13"/>
    <w:rPr>
      <w:sz w:val="20"/>
      <w:szCs w:val="20"/>
    </w:rPr>
  </w:style>
  <w:style w:type="character" w:styleId="FootnoteReference">
    <w:name w:val="footnote reference"/>
    <w:basedOn w:val="DefaultParagraphFont"/>
    <w:uiPriority w:val="99"/>
    <w:semiHidden/>
    <w:unhideWhenUsed/>
    <w:rsid w:val="00BF7E13"/>
    <w:rPr>
      <w:vertAlign w:val="superscript"/>
    </w:rPr>
  </w:style>
  <w:style w:type="character" w:styleId="Hyperlink">
    <w:name w:val="Hyperlink"/>
    <w:basedOn w:val="DefaultParagraphFont"/>
    <w:uiPriority w:val="99"/>
    <w:unhideWhenUsed/>
    <w:rsid w:val="006F24E7"/>
    <w:rPr>
      <w:color w:val="0000FF" w:themeColor="hyperlink"/>
      <w:u w:val="single"/>
    </w:rPr>
  </w:style>
  <w:style w:type="paragraph" w:customStyle="1" w:styleId="Body">
    <w:name w:val="Body"/>
    <w:basedOn w:val="Normal"/>
    <w:rsid w:val="00040EB7"/>
    <w:pPr>
      <w:autoSpaceDE w:val="0"/>
      <w:autoSpaceDN w:val="0"/>
      <w:adjustRightInd w:val="0"/>
      <w:spacing w:after="120" w:line="240" w:lineRule="auto"/>
      <w:textAlignment w:val="center"/>
    </w:pPr>
    <w:rPr>
      <w:rFonts w:ascii="Arial" w:eastAsia="Cambria" w:hAnsi="Arial" w:cs="Times-Roman"/>
      <w:color w:val="40404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dicialreview@supcourt.vic.gov.au" TargetMode="External"/><Relationship Id="rId18" Type="http://schemas.openxmlformats.org/officeDocument/2006/relationships/hyperlink" Target="mailto:judicialreview@supcourt.vic.gov.au" TargetMode="External"/><Relationship Id="rId26" Type="http://schemas.openxmlformats.org/officeDocument/2006/relationships/hyperlink" Target="mailto:judicialreview@supcourt.vic.gov.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http://confluence-scv/download/attachments/1082116/SCV_RGB_B.jpg" TargetMode="External"/><Relationship Id="rId17" Type="http://schemas.openxmlformats.org/officeDocument/2006/relationships/hyperlink" Target="mailto:orders@supremecourt.vic.gov.a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judicialreview@supcourt.vic.gov.au" TargetMode="External"/><Relationship Id="rId20" Type="http://schemas.openxmlformats.org/officeDocument/2006/relationships/hyperlink" Target="mailto:judicialreview@supcourt.vic.gov.a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orders@supremecourt.vic.gov.au" TargetMode="External"/><Relationship Id="rId23" Type="http://schemas.openxmlformats.org/officeDocument/2006/relationships/footer" Target="foot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judicialreview@supcourt.vic.gov.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ly.associate@supcourt.vic.gov.au" TargetMode="External"/><Relationship Id="rId22" Type="http://schemas.openxmlformats.org/officeDocument/2006/relationships/header" Target="header2.xml"/><Relationship Id="rId27" Type="http://schemas.openxmlformats.org/officeDocument/2006/relationships/image" Target="media/image2.png"/><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judicialreview@supcourt.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8DE93BA0C8E0438D65F929B2A1B278" ma:contentTypeVersion="2" ma:contentTypeDescription="Create a new document." ma:contentTypeScope="" ma:versionID="cf13ab28f155602c7af66fdb48e7bf40">
  <xsd:schema xmlns:xsd="http://www.w3.org/2001/XMLSchema" xmlns:xs="http://www.w3.org/2001/XMLSchema" xmlns:p="http://schemas.microsoft.com/office/2006/metadata/properties" xmlns:ns2="3dff93c5-8ae8-4b09-acd5-1fa0d3a9f0ee" targetNamespace="http://schemas.microsoft.com/office/2006/metadata/properties" ma:root="true" ma:fieldsID="c3d8b981c1d66dcb290972587a2c83c2" ns2:_="">
    <xsd:import namespace="3dff93c5-8ae8-4b09-acd5-1fa0d3a9f0e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f93c5-8ae8-4b09-acd5-1fa0d3a9f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D5576-11D8-438B-B648-6A873E8ACCC6}">
  <ds:schemaRefs>
    <ds:schemaRef ds:uri="http://schemas.microsoft.com/sharepoint/v3/contenttype/forms"/>
  </ds:schemaRefs>
</ds:datastoreItem>
</file>

<file path=customXml/itemProps2.xml><?xml version="1.0" encoding="utf-8"?>
<ds:datastoreItem xmlns:ds="http://schemas.openxmlformats.org/officeDocument/2006/customXml" ds:itemID="{500C7921-EA27-4333-8D32-67178D9852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64BB41-2E3E-4A11-898E-4E3230FA4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f93c5-8ae8-4b09-acd5-1fa0d3a9f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9C1593-C2D5-4F75-995E-938EB57D4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1</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Justice Victoria</Company>
  <LinksUpToDate>false</LinksUpToDate>
  <CharactersWithSpaces>7262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Murphy</dc:creator>
  <cp:keywords/>
  <dc:description/>
  <cp:lastModifiedBy>Stuart Moran</cp:lastModifiedBy>
  <cp:revision>99</cp:revision>
  <cp:lastPrinted>2016-09-13T03:41:00Z</cp:lastPrinted>
  <dcterms:created xsi:type="dcterms:W3CDTF">2016-02-14T23:37:00Z</dcterms:created>
  <dcterms:modified xsi:type="dcterms:W3CDTF">2016-09-20T06:11:00Z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0x010100718DE93BA0C8E0438D65F929B2A1B278</vt:lpwstr>
  </property>
</Properties>
</file>