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1DB45" w14:textId="3B9FD7DF" w:rsidR="00FC6DF1" w:rsidRDefault="00FC6DF1" w:rsidP="00A94ECE">
      <w:pPr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94A444F" wp14:editId="4C5F4556">
            <wp:extent cx="941070" cy="941070"/>
            <wp:effectExtent l="0" t="0" r="0" b="0"/>
            <wp:docPr id="1" name="Picture 1" descr="SCV_RGB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V_RGB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740E" w14:textId="173FE700" w:rsidR="00A94ECE" w:rsidRDefault="625DFF9F" w:rsidP="00A94ECE">
      <w:pPr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625DFF9F">
        <w:rPr>
          <w:rFonts w:ascii="Book Antiqua" w:eastAsia="Book Antiqua" w:hAnsi="Book Antiqua" w:cs="Book Antiqua"/>
          <w:b/>
          <w:bCs/>
          <w:sz w:val="24"/>
          <w:szCs w:val="24"/>
        </w:rPr>
        <w:t>Personal Injuries List Users Group</w:t>
      </w:r>
      <w:r w:rsidR="005F423E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Meeting - 18</w:t>
      </w:r>
      <w:r w:rsidRPr="625DFF9F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May 2016</w:t>
      </w:r>
    </w:p>
    <w:p w14:paraId="79F9F68A" w14:textId="6D360A86" w:rsidR="00F3521B" w:rsidRDefault="005F423E" w:rsidP="00A94ECE">
      <w:pPr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Key Points Bulletin</w:t>
      </w:r>
    </w:p>
    <w:p w14:paraId="326DFCF2" w14:textId="5FD7575F" w:rsidR="005F423E" w:rsidRDefault="005F423E" w:rsidP="00C92389">
      <w:pPr>
        <w:ind w:left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On 18 May 2016 Her Honour Justice Rita Zammit, the Judge in Charge of the Personal Injuries List</w:t>
      </w:r>
      <w:r w:rsidR="00C80557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chaired a meeting of representatives of law firms and members of the Bar who frequently appear in this List. The following Key Points </w:t>
      </w:r>
      <w:r w:rsidR="005C6F0C">
        <w:rPr>
          <w:rFonts w:ascii="Book Antiqua" w:hAnsi="Book Antiqua"/>
          <w:sz w:val="24"/>
        </w:rPr>
        <w:t xml:space="preserve">emerging from the </w:t>
      </w:r>
      <w:r>
        <w:rPr>
          <w:rFonts w:ascii="Book Antiqua" w:hAnsi="Book Antiqua"/>
          <w:sz w:val="24"/>
        </w:rPr>
        <w:t>meeting are offered for the benefit of users of th</w:t>
      </w:r>
      <w:r w:rsidR="00C92389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 xml:space="preserve"> List generally.</w:t>
      </w:r>
    </w:p>
    <w:p w14:paraId="6F1B21C2" w14:textId="7F8C8264" w:rsidR="00A46820" w:rsidRPr="007C715E" w:rsidRDefault="005F423E" w:rsidP="00C92389">
      <w:pPr>
        <w:ind w:left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</w:rPr>
        <w:t xml:space="preserve">Practitioners </w:t>
      </w:r>
      <w:r w:rsidR="00C92389">
        <w:rPr>
          <w:rFonts w:ascii="Book Antiqua" w:hAnsi="Book Antiqua"/>
          <w:sz w:val="24"/>
        </w:rPr>
        <w:t>are encouraged to provide feedback concerning any of these issues or other issues concerning the general management of cases in the List to Kate Clark, Deputy Registrar – Common Law</w:t>
      </w:r>
      <w:r w:rsidR="00C80557">
        <w:rPr>
          <w:rFonts w:ascii="Book Antiqua" w:hAnsi="Book Antiqua"/>
          <w:sz w:val="24"/>
        </w:rPr>
        <w:t xml:space="preserve">: </w:t>
      </w:r>
      <w:hyperlink r:id="rId12" w:history="1">
        <w:r w:rsidR="00C92389" w:rsidRPr="00D67B61">
          <w:rPr>
            <w:rStyle w:val="Hyperlink"/>
            <w:rFonts w:ascii="Book Antiqua" w:hAnsi="Book Antiqua"/>
            <w:sz w:val="24"/>
          </w:rPr>
          <w:t>kate.clark@supcourt.vic.gov.au</w:t>
        </w:r>
      </w:hyperlink>
      <w:r w:rsidR="00C92389">
        <w:rPr>
          <w:rFonts w:ascii="Book Antiqua" w:hAnsi="Book Antiqua"/>
          <w:sz w:val="24"/>
        </w:rPr>
        <w:t xml:space="preserve"> </w:t>
      </w:r>
    </w:p>
    <w:p w14:paraId="1DB5393B" w14:textId="511EBDD8" w:rsidR="00A94ECE" w:rsidRPr="00662CF3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 w:rsidRPr="00662CF3">
        <w:rPr>
          <w:rFonts w:ascii="Book Antiqua" w:eastAsia="Book Antiqua" w:hAnsi="Book Antiqua" w:cs="Book Antiqua"/>
          <w:b/>
          <w:sz w:val="24"/>
          <w:szCs w:val="24"/>
        </w:rPr>
        <w:t>Review of Practice Note</w:t>
      </w:r>
      <w:r w:rsidR="00662CF3" w:rsidRPr="00662CF3"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14:paraId="0B277D36" w14:textId="2E6DCBB5" w:rsidR="00D64D06" w:rsidRPr="00523720" w:rsidRDefault="00C92389" w:rsidP="00FC1B22">
      <w:pPr>
        <w:pStyle w:val="ListParagraph"/>
        <w:numPr>
          <w:ilvl w:val="0"/>
          <w:numId w:val="2"/>
        </w:numPr>
        <w:ind w:left="1080"/>
        <w:rPr>
          <w:rFonts w:ascii="Book Antiqua" w:eastAsia="Book Antiqua" w:hAnsi="Book Antiqua" w:cs="Book Antiqua"/>
          <w:sz w:val="24"/>
          <w:szCs w:val="24"/>
        </w:rPr>
      </w:pPr>
      <w:r w:rsidRPr="00523720">
        <w:rPr>
          <w:rFonts w:ascii="Book Antiqua" w:eastAsia="Book Antiqua" w:hAnsi="Book Antiqua" w:cs="Book Antiqua"/>
          <w:sz w:val="24"/>
          <w:szCs w:val="24"/>
        </w:rPr>
        <w:t xml:space="preserve">With the introduction of the Case </w:t>
      </w:r>
      <w:r w:rsidR="00523720" w:rsidRPr="00523720">
        <w:rPr>
          <w:rFonts w:ascii="Book Antiqua" w:eastAsia="Book Antiqua" w:hAnsi="Book Antiqua" w:cs="Book Antiqua"/>
          <w:sz w:val="24"/>
          <w:szCs w:val="24"/>
        </w:rPr>
        <w:t>M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anagement Pilot for Personal Injuries and Dust Diseases Lists in February 2016, PN No 3. </w:t>
      </w:r>
      <w:r w:rsidR="00523720" w:rsidRPr="00523720">
        <w:rPr>
          <w:rFonts w:ascii="Book Antiqua" w:eastAsia="Book Antiqua" w:hAnsi="Book Antiqua" w:cs="Book Antiqua"/>
          <w:sz w:val="24"/>
          <w:szCs w:val="24"/>
        </w:rPr>
        <w:t>o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f 2015 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 xml:space="preserve">is </w:t>
      </w:r>
      <w:r w:rsidR="00D64D06" w:rsidRPr="00523720">
        <w:rPr>
          <w:rFonts w:ascii="Book Antiqua" w:eastAsia="Book Antiqua" w:hAnsi="Book Antiqua" w:cs="Book Antiqua"/>
          <w:sz w:val="24"/>
          <w:szCs w:val="24"/>
        </w:rPr>
        <w:t>largely out of date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 xml:space="preserve"> and should be </w:t>
      </w:r>
      <w:r w:rsidR="00D64D06" w:rsidRPr="00523720">
        <w:rPr>
          <w:rFonts w:ascii="Book Antiqua" w:eastAsia="Book Antiqua" w:hAnsi="Book Antiqua" w:cs="Book Antiqua"/>
          <w:sz w:val="24"/>
          <w:szCs w:val="24"/>
        </w:rPr>
        <w:t xml:space="preserve">read in conjunction with </w:t>
      </w:r>
      <w:r w:rsidR="005B0DFB">
        <w:rPr>
          <w:rFonts w:ascii="Book Antiqua" w:eastAsia="Book Antiqua" w:hAnsi="Book Antiqua" w:cs="Book Antiqua"/>
          <w:sz w:val="24"/>
          <w:szCs w:val="24"/>
        </w:rPr>
        <w:t xml:space="preserve">the </w:t>
      </w:r>
      <w:r w:rsidR="00D64D06" w:rsidRPr="00523720">
        <w:rPr>
          <w:rFonts w:ascii="Book Antiqua" w:eastAsia="Book Antiqua" w:hAnsi="Book Antiqua" w:cs="Book Antiqua"/>
          <w:sz w:val="24"/>
          <w:szCs w:val="24"/>
        </w:rPr>
        <w:t>Notice to the Profession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 concerning the Pilot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>.</w:t>
      </w:r>
      <w:r w:rsidR="00523720" w:rsidRPr="0052372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D64D06" w:rsidRPr="00523720">
        <w:rPr>
          <w:rFonts w:ascii="Book Antiqua" w:eastAsia="Book Antiqua" w:hAnsi="Book Antiqua" w:cs="Book Antiqua"/>
          <w:sz w:val="24"/>
          <w:szCs w:val="24"/>
        </w:rPr>
        <w:t xml:space="preserve">All 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Supreme Court Practice Notes will undergo review in 2016 and a new 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>P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ractice 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>N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ote 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 xml:space="preserve">is due </w:t>
      </w:r>
      <w:r w:rsidRPr="00523720">
        <w:rPr>
          <w:rFonts w:ascii="Book Antiqua" w:eastAsia="Book Antiqua" w:hAnsi="Book Antiqua" w:cs="Book Antiqua"/>
          <w:sz w:val="24"/>
          <w:szCs w:val="24"/>
        </w:rPr>
        <w:t xml:space="preserve">for publication in September. </w:t>
      </w:r>
      <w:r w:rsidR="00662CF3" w:rsidRPr="00523720">
        <w:rPr>
          <w:rFonts w:ascii="Book Antiqua" w:eastAsia="Book Antiqua" w:hAnsi="Book Antiqua" w:cs="Book Antiqua"/>
          <w:sz w:val="24"/>
          <w:szCs w:val="24"/>
        </w:rPr>
        <w:t xml:space="preserve">Practitioners </w:t>
      </w:r>
      <w:r w:rsidR="00AD5F63" w:rsidRPr="00523720">
        <w:rPr>
          <w:rFonts w:ascii="Book Antiqua" w:eastAsia="Book Antiqua" w:hAnsi="Book Antiqua" w:cs="Book Antiqua"/>
          <w:sz w:val="24"/>
          <w:szCs w:val="24"/>
        </w:rPr>
        <w:t>should consult the P</w:t>
      </w:r>
      <w:r w:rsidR="00523720">
        <w:rPr>
          <w:rFonts w:ascii="Book Antiqua" w:eastAsia="Book Antiqua" w:hAnsi="Book Antiqua" w:cs="Book Antiqua"/>
          <w:sz w:val="24"/>
          <w:szCs w:val="24"/>
        </w:rPr>
        <w:t xml:space="preserve">ersonal </w:t>
      </w:r>
      <w:r w:rsidR="00AD5F63" w:rsidRPr="00523720">
        <w:rPr>
          <w:rFonts w:ascii="Book Antiqua" w:eastAsia="Book Antiqua" w:hAnsi="Book Antiqua" w:cs="Book Antiqua"/>
          <w:sz w:val="24"/>
          <w:szCs w:val="24"/>
        </w:rPr>
        <w:t>I</w:t>
      </w:r>
      <w:r w:rsidR="00523720">
        <w:rPr>
          <w:rFonts w:ascii="Book Antiqua" w:eastAsia="Book Antiqua" w:hAnsi="Book Antiqua" w:cs="Book Antiqua"/>
          <w:sz w:val="24"/>
          <w:szCs w:val="24"/>
        </w:rPr>
        <w:t>njuries</w:t>
      </w:r>
      <w:r w:rsidR="00AD5F63" w:rsidRPr="00523720">
        <w:rPr>
          <w:rFonts w:ascii="Book Antiqua" w:eastAsia="Book Antiqua" w:hAnsi="Book Antiqua" w:cs="Book Antiqua"/>
          <w:sz w:val="24"/>
          <w:szCs w:val="24"/>
        </w:rPr>
        <w:t xml:space="preserve"> page of the Court’s website </w:t>
      </w:r>
      <w:hyperlink r:id="rId13" w:history="1">
        <w:r w:rsidR="00AD5F63" w:rsidRPr="0052372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http://www.supremecourt.vic.gov.au/home/law+and+practice/specialist+areas+of+law/personal+injuries/</w:t>
        </w:r>
      </w:hyperlink>
      <w:r w:rsidR="00AD5F63" w:rsidRPr="00523720">
        <w:rPr>
          <w:rFonts w:ascii="Book Antiqua" w:eastAsia="Book Antiqua" w:hAnsi="Book Antiqua" w:cs="Book Antiqua"/>
          <w:sz w:val="24"/>
          <w:szCs w:val="24"/>
        </w:rPr>
        <w:t xml:space="preserve"> for the most up-to-date practice information</w:t>
      </w:r>
      <w:r w:rsidR="00523720">
        <w:rPr>
          <w:rFonts w:ascii="Book Antiqua" w:eastAsia="Book Antiqua" w:hAnsi="Book Antiqua" w:cs="Book Antiqua"/>
          <w:sz w:val="24"/>
          <w:szCs w:val="24"/>
        </w:rPr>
        <w:t>.</w:t>
      </w:r>
    </w:p>
    <w:p w14:paraId="1390932D" w14:textId="7ECEC394" w:rsidR="00AD5F63" w:rsidRDefault="00AD5F63" w:rsidP="00E36A21">
      <w:pPr>
        <w:pStyle w:val="ListParagraph"/>
        <w:numPr>
          <w:ilvl w:val="0"/>
          <w:numId w:val="2"/>
        </w:numPr>
        <w:ind w:left="108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Justice Zammit noted that the Timeline in Schedule 2 of the current Practice Note </w:t>
      </w:r>
      <w:r w:rsidR="00523720">
        <w:rPr>
          <w:rFonts w:ascii="Book Antiqua" w:eastAsia="Book Antiqua" w:hAnsi="Book Antiqua" w:cs="Book Antiqua"/>
          <w:sz w:val="24"/>
          <w:szCs w:val="24"/>
        </w:rPr>
        <w:t xml:space="preserve">should not be considered </w:t>
      </w:r>
      <w:r>
        <w:rPr>
          <w:rFonts w:ascii="Book Antiqua" w:eastAsia="Book Antiqua" w:hAnsi="Book Antiqua" w:cs="Book Antiqua"/>
          <w:sz w:val="24"/>
          <w:szCs w:val="24"/>
        </w:rPr>
        <w:t xml:space="preserve">mandatory and encouraged practitioners to agree on </w:t>
      </w:r>
      <w:r w:rsidR="007F6D3A">
        <w:rPr>
          <w:rFonts w:ascii="Book Antiqua" w:eastAsia="Book Antiqua" w:hAnsi="Book Antiqua" w:cs="Book Antiqua"/>
          <w:sz w:val="24"/>
          <w:szCs w:val="24"/>
        </w:rPr>
        <w:t>a</w:t>
      </w:r>
      <w:r w:rsidR="001B7C57">
        <w:rPr>
          <w:rFonts w:ascii="Book Antiqua" w:eastAsia="Book Antiqua" w:hAnsi="Book Antiqua" w:cs="Book Antiqua"/>
          <w:sz w:val="24"/>
          <w:szCs w:val="24"/>
        </w:rPr>
        <w:t xml:space="preserve"> more appropriate </w:t>
      </w:r>
      <w:r>
        <w:rPr>
          <w:rFonts w:ascii="Book Antiqua" w:eastAsia="Book Antiqua" w:hAnsi="Book Antiqua" w:cs="Book Antiqua"/>
          <w:sz w:val="24"/>
          <w:szCs w:val="24"/>
        </w:rPr>
        <w:t>interlocutory timetable</w:t>
      </w:r>
      <w:r w:rsidR="001B7C57">
        <w:rPr>
          <w:rFonts w:ascii="Book Antiqua" w:eastAsia="Book Antiqua" w:hAnsi="Book Antiqua" w:cs="Book Antiqua"/>
          <w:sz w:val="24"/>
          <w:szCs w:val="24"/>
        </w:rPr>
        <w:t xml:space="preserve"> if need be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715FE810" w14:textId="6487DACD" w:rsidR="00662CF3" w:rsidRDefault="00662CF3" w:rsidP="00662CF3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502BB522" w14:textId="77777777" w:rsidR="00662CF3" w:rsidRDefault="00662CF3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662CF3">
        <w:rPr>
          <w:rFonts w:ascii="Book Antiqua" w:eastAsia="Book Antiqua" w:hAnsi="Book Antiqua" w:cs="Book Antiqua"/>
          <w:b/>
          <w:sz w:val="24"/>
          <w:szCs w:val="24"/>
        </w:rPr>
        <w:t>A</w:t>
      </w:r>
      <w:r w:rsidR="625DFF9F" w:rsidRPr="00662CF3">
        <w:rPr>
          <w:rFonts w:ascii="Book Antiqua" w:eastAsia="Book Antiqua" w:hAnsi="Book Antiqua" w:cs="Book Antiqua"/>
          <w:b/>
          <w:sz w:val="24"/>
          <w:szCs w:val="24"/>
        </w:rPr>
        <w:t>ppropriateness of jurisdiction</w:t>
      </w:r>
    </w:p>
    <w:p w14:paraId="2874240D" w14:textId="3B01E16B" w:rsidR="00D64D06" w:rsidRPr="0091438E" w:rsidRDefault="00AD5F63" w:rsidP="00E36A21">
      <w:pPr>
        <w:pStyle w:val="ListParagraph"/>
        <w:numPr>
          <w:ilvl w:val="0"/>
          <w:numId w:val="3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The Court has experienced a steady rise </w:t>
      </w:r>
      <w:r w:rsidR="00173810"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 xml:space="preserve"> initiations in this List and is</w:t>
      </w:r>
      <w:r w:rsidR="003F62AF">
        <w:rPr>
          <w:rFonts w:ascii="Book Antiqua" w:eastAsia="Book Antiqua" w:hAnsi="Book Antiqua" w:cs="Book Antiqua"/>
          <w:sz w:val="24"/>
          <w:szCs w:val="24"/>
        </w:rPr>
        <w:t xml:space="preserve"> closely </w:t>
      </w:r>
      <w:r w:rsidR="00DC014D">
        <w:rPr>
          <w:rFonts w:ascii="Book Antiqua" w:eastAsia="Book Antiqua" w:hAnsi="Book Antiqua" w:cs="Book Antiqua"/>
          <w:sz w:val="24"/>
          <w:szCs w:val="24"/>
        </w:rPr>
        <w:t xml:space="preserve">scrutinising </w:t>
      </w:r>
      <w:r>
        <w:rPr>
          <w:rFonts w:ascii="Book Antiqua" w:eastAsia="Book Antiqua" w:hAnsi="Book Antiqua" w:cs="Book Antiqua"/>
          <w:sz w:val="24"/>
          <w:szCs w:val="24"/>
        </w:rPr>
        <w:t xml:space="preserve">proceedings to assess </w:t>
      </w:r>
      <w:r w:rsidR="00504CE6">
        <w:rPr>
          <w:rFonts w:ascii="Book Antiqua" w:eastAsia="Book Antiqua" w:hAnsi="Book Antiqua" w:cs="Book Antiqua"/>
          <w:sz w:val="24"/>
          <w:szCs w:val="24"/>
        </w:rPr>
        <w:t xml:space="preserve">possible transfer to the </w:t>
      </w:r>
      <w:r>
        <w:rPr>
          <w:rFonts w:ascii="Book Antiqua" w:eastAsia="Book Antiqua" w:hAnsi="Book Antiqua" w:cs="Book Antiqua"/>
          <w:sz w:val="24"/>
          <w:szCs w:val="24"/>
        </w:rPr>
        <w:t xml:space="preserve">County </w:t>
      </w:r>
      <w:r w:rsidR="00DC014D">
        <w:rPr>
          <w:rFonts w:ascii="Book Antiqua" w:eastAsia="Book Antiqua" w:hAnsi="Book Antiqua" w:cs="Book Antiqua"/>
          <w:sz w:val="24"/>
          <w:szCs w:val="24"/>
        </w:rPr>
        <w:t>Court</w:t>
      </w:r>
      <w:r w:rsidR="00173810">
        <w:rPr>
          <w:rFonts w:ascii="Book Antiqua" w:eastAsia="Book Antiqua" w:hAnsi="Book Antiqua" w:cs="Book Antiqua"/>
          <w:sz w:val="24"/>
          <w:szCs w:val="24"/>
        </w:rPr>
        <w:t>.</w:t>
      </w:r>
    </w:p>
    <w:p w14:paraId="32DE4FB1" w14:textId="77777777" w:rsidR="009D3E06" w:rsidRPr="007C715E" w:rsidRDefault="009D3E06" w:rsidP="00065356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37CC7B34" w14:textId="42663166" w:rsidR="008916AF" w:rsidRPr="00AB4C3E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 w:rsidRPr="00AB4C3E">
        <w:rPr>
          <w:rFonts w:ascii="Book Antiqua" w:eastAsia="Book Antiqua" w:hAnsi="Book Antiqua" w:cs="Book Antiqua"/>
          <w:b/>
          <w:sz w:val="24"/>
          <w:szCs w:val="24"/>
        </w:rPr>
        <w:t>Directions and interlocutory applications</w:t>
      </w:r>
      <w:r w:rsidR="008B7509" w:rsidRPr="00AB4C3E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14:paraId="2A7D6DBC" w14:textId="181DC010" w:rsidR="00960BCA" w:rsidRDefault="00DC014D" w:rsidP="00E36A21">
      <w:pPr>
        <w:pStyle w:val="ListParagraph"/>
        <w:numPr>
          <w:ilvl w:val="0"/>
          <w:numId w:val="3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The Court’s requirement </w:t>
      </w:r>
      <w:r w:rsidR="009709AF">
        <w:rPr>
          <w:rFonts w:ascii="Book Antiqua" w:eastAsia="Book Antiqua" w:hAnsi="Book Antiqua" w:cs="Book Antiqua"/>
          <w:sz w:val="24"/>
          <w:szCs w:val="24"/>
        </w:rPr>
        <w:t>that</w:t>
      </w:r>
      <w:r>
        <w:rPr>
          <w:rFonts w:ascii="Book Antiqua" w:eastAsia="Book Antiqua" w:hAnsi="Book Antiqua" w:cs="Book Antiqua"/>
          <w:sz w:val="24"/>
          <w:szCs w:val="24"/>
        </w:rPr>
        <w:t xml:space="preserve"> requests for consent minutes </w:t>
      </w:r>
      <w:r w:rsidR="00DE705A">
        <w:rPr>
          <w:rFonts w:ascii="Book Antiqua" w:eastAsia="Book Antiqua" w:hAnsi="Book Antiqua" w:cs="Book Antiqua"/>
          <w:sz w:val="24"/>
          <w:szCs w:val="24"/>
        </w:rPr>
        <w:t xml:space="preserve">ahead of Friday directions hearings be submitted </w:t>
      </w:r>
      <w:r>
        <w:rPr>
          <w:rFonts w:ascii="Book Antiqua" w:eastAsia="Book Antiqua" w:hAnsi="Book Antiqua" w:cs="Book Antiqua"/>
          <w:sz w:val="24"/>
          <w:szCs w:val="24"/>
        </w:rPr>
        <w:t>by 4pm on Wednesday</w:t>
      </w:r>
      <w:r w:rsidR="00DE705A"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 appears to be saving time and cost for practitioners as Court staff have more time to process requests for orders on the papers, thereby avoiding </w:t>
      </w:r>
      <w:r w:rsidR="00C63C9B"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z w:val="24"/>
          <w:szCs w:val="24"/>
        </w:rPr>
        <w:t>need for attendance on the day.</w:t>
      </w:r>
    </w:p>
    <w:p w14:paraId="44B9D320" w14:textId="77777777" w:rsidR="00E36A21" w:rsidRDefault="00E36A21" w:rsidP="00E36A21">
      <w:pPr>
        <w:pStyle w:val="ListParagraph"/>
        <w:numPr>
          <w:ilvl w:val="0"/>
          <w:numId w:val="3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 much firmer approach is being taken in relation to applications without notice during directions hearings, particularly to </w:t>
      </w:r>
      <w:r w:rsidR="00F05819">
        <w:rPr>
          <w:rFonts w:ascii="Book Antiqua" w:eastAsia="Book Antiqua" w:hAnsi="Book Antiqua" w:cs="Book Antiqua"/>
          <w:sz w:val="24"/>
          <w:szCs w:val="24"/>
        </w:rPr>
        <w:t>vacate trial</w:t>
      </w:r>
      <w:r>
        <w:rPr>
          <w:rFonts w:ascii="Book Antiqua" w:eastAsia="Book Antiqua" w:hAnsi="Book Antiqua" w:cs="Book Antiqua"/>
          <w:sz w:val="24"/>
          <w:szCs w:val="24"/>
        </w:rPr>
        <w:t xml:space="preserve"> dates. In the absence of exceptional circumstances, applications must be made on summons supported by affidavit material.</w:t>
      </w:r>
    </w:p>
    <w:p w14:paraId="025D9378" w14:textId="2BBE1155" w:rsidR="00E36A21" w:rsidRDefault="00E36A21" w:rsidP="00E36A21">
      <w:pPr>
        <w:pStyle w:val="ListParagraph"/>
        <w:numPr>
          <w:ilvl w:val="0"/>
          <w:numId w:val="3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Interlocutory applications are now listed for the convenience of practitioners in Court </w:t>
      </w:r>
      <w:r w:rsidR="00955E6B">
        <w:rPr>
          <w:rFonts w:ascii="Book Antiqua" w:eastAsia="Book Antiqua" w:hAnsi="Book Antiqua" w:cs="Book Antiqua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, William Cooper Justice Centre rather than Court 4</w:t>
      </w:r>
      <w:r w:rsidR="009709AF"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z w:val="24"/>
          <w:szCs w:val="24"/>
        </w:rPr>
        <w:t xml:space="preserve"> 436 Lonsdale Street.</w:t>
      </w:r>
    </w:p>
    <w:p w14:paraId="5526F06D" w14:textId="60BA196D" w:rsidR="00960BCA" w:rsidRPr="00825A34" w:rsidRDefault="00E36A21" w:rsidP="00A12372">
      <w:pPr>
        <w:pStyle w:val="ListParagraph"/>
        <w:numPr>
          <w:ilvl w:val="0"/>
          <w:numId w:val="3"/>
        </w:numPr>
        <w:rPr>
          <w:rFonts w:ascii="Book Antiqua" w:eastAsia="Book Antiqua" w:hAnsi="Book Antiqua" w:cs="Book Antiqua"/>
          <w:sz w:val="24"/>
          <w:szCs w:val="24"/>
        </w:rPr>
      </w:pPr>
      <w:r w:rsidRPr="00825A34">
        <w:rPr>
          <w:rFonts w:ascii="Book Antiqua" w:eastAsia="Book Antiqua" w:hAnsi="Book Antiqua" w:cs="Book Antiqua"/>
          <w:sz w:val="24"/>
          <w:szCs w:val="24"/>
        </w:rPr>
        <w:t xml:space="preserve">The Court welcomes </w:t>
      </w:r>
      <w:r w:rsidR="00825A34" w:rsidRPr="00825A34">
        <w:rPr>
          <w:rFonts w:ascii="Book Antiqua" w:eastAsia="Book Antiqua" w:hAnsi="Book Antiqua" w:cs="Book Antiqua"/>
          <w:sz w:val="24"/>
          <w:szCs w:val="24"/>
        </w:rPr>
        <w:t xml:space="preserve">and encourages </w:t>
      </w:r>
      <w:r w:rsidR="004950CA" w:rsidRPr="00825A34">
        <w:rPr>
          <w:rFonts w:ascii="Book Antiqua" w:eastAsia="Book Antiqua" w:hAnsi="Book Antiqua" w:cs="Book Antiqua"/>
          <w:sz w:val="24"/>
          <w:szCs w:val="24"/>
        </w:rPr>
        <w:t xml:space="preserve">young practitioners </w:t>
      </w:r>
      <w:r w:rsidR="00825A34" w:rsidRPr="00825A34">
        <w:rPr>
          <w:rFonts w:ascii="Book Antiqua" w:eastAsia="Book Antiqua" w:hAnsi="Book Antiqua" w:cs="Book Antiqua"/>
          <w:sz w:val="24"/>
          <w:szCs w:val="24"/>
        </w:rPr>
        <w:t xml:space="preserve">to appear at directions hearings and applications but requires that they be properly prepared by their </w:t>
      </w:r>
      <w:r w:rsidR="00825A34" w:rsidRPr="00825A34">
        <w:rPr>
          <w:rFonts w:ascii="Book Antiqua" w:eastAsia="Book Antiqua" w:hAnsi="Book Antiqua" w:cs="Book Antiqua"/>
          <w:sz w:val="24"/>
          <w:szCs w:val="24"/>
        </w:rPr>
        <w:lastRenderedPageBreak/>
        <w:t>principals. N</w:t>
      </w:r>
      <w:r w:rsidR="00960BCA" w:rsidRPr="00825A34">
        <w:rPr>
          <w:rFonts w:ascii="Book Antiqua" w:eastAsia="Book Antiqua" w:hAnsi="Book Antiqua" w:cs="Book Antiqua"/>
          <w:sz w:val="24"/>
          <w:szCs w:val="24"/>
        </w:rPr>
        <w:t xml:space="preserve">on-admitted persons </w:t>
      </w:r>
      <w:r w:rsidR="00825A34">
        <w:rPr>
          <w:rFonts w:ascii="Book Antiqua" w:eastAsia="Book Antiqua" w:hAnsi="Book Antiqua" w:cs="Book Antiqua"/>
          <w:sz w:val="24"/>
          <w:szCs w:val="24"/>
        </w:rPr>
        <w:t xml:space="preserve">are required </w:t>
      </w:r>
      <w:r w:rsidR="00960BCA" w:rsidRPr="00825A34">
        <w:rPr>
          <w:rFonts w:ascii="Book Antiqua" w:eastAsia="Book Antiqua" w:hAnsi="Book Antiqua" w:cs="Book Antiqua"/>
          <w:sz w:val="24"/>
          <w:szCs w:val="24"/>
        </w:rPr>
        <w:t xml:space="preserve">to seek leave to appear at least the day before and be in </w:t>
      </w:r>
      <w:r w:rsidR="00FA0E51"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="00960BCA" w:rsidRPr="00825A34">
        <w:rPr>
          <w:rFonts w:ascii="Book Antiqua" w:eastAsia="Book Antiqua" w:hAnsi="Book Antiqua" w:cs="Book Antiqua"/>
          <w:sz w:val="24"/>
          <w:szCs w:val="24"/>
        </w:rPr>
        <w:t>position to provide meaningful assistance to the Court.</w:t>
      </w:r>
    </w:p>
    <w:p w14:paraId="3851809A" w14:textId="77777777" w:rsidR="00065356" w:rsidRPr="007C715E" w:rsidRDefault="00065356" w:rsidP="00F05819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364F715D" w14:textId="77777777" w:rsidR="00F05819" w:rsidRDefault="625DFF9F" w:rsidP="00F05819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 w:rsidRPr="00F05819">
        <w:rPr>
          <w:rFonts w:ascii="Book Antiqua" w:eastAsia="Book Antiqua" w:hAnsi="Book Antiqua" w:cs="Book Antiqua"/>
          <w:b/>
          <w:sz w:val="24"/>
          <w:szCs w:val="24"/>
        </w:rPr>
        <w:t>Post-mediation directions hearings</w:t>
      </w:r>
    </w:p>
    <w:p w14:paraId="372F96EB" w14:textId="10E08A02" w:rsidR="000E2236" w:rsidRPr="00F05819" w:rsidRDefault="00825A34" w:rsidP="00825A34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The new </w:t>
      </w:r>
      <w:r w:rsidR="007717DF"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 xml:space="preserve">ost </w:t>
      </w:r>
      <w:r w:rsidR="007717DF"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ediation </w:t>
      </w:r>
      <w:r w:rsidR="007717DF"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irection </w:t>
      </w:r>
      <w:r w:rsidR="007717DF"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earing was introduced following consultation with the profession and is </w:t>
      </w:r>
      <w:r w:rsidR="007717DF">
        <w:rPr>
          <w:rFonts w:ascii="Book Antiqua" w:eastAsia="Book Antiqua" w:hAnsi="Book Antiqua" w:cs="Book Antiqua"/>
          <w:sz w:val="24"/>
          <w:szCs w:val="24"/>
        </w:rPr>
        <w:t>designed to enable the Court to get a better idea at an earlier stage of whether matters are on track for trial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</w:p>
    <w:p w14:paraId="237E09B0" w14:textId="77777777" w:rsidR="00065356" w:rsidRPr="007C715E" w:rsidRDefault="00065356" w:rsidP="00825A34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500AFBE5" w14:textId="2E410137" w:rsidR="007717DF" w:rsidRPr="007717DF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7717DF">
        <w:rPr>
          <w:rFonts w:ascii="Book Antiqua" w:eastAsia="Book Antiqua" w:hAnsi="Book Antiqua" w:cs="Book Antiqua"/>
          <w:b/>
          <w:sz w:val="24"/>
          <w:szCs w:val="24"/>
        </w:rPr>
        <w:t>Expert evidence (joint reports, concurrent evidence</w:t>
      </w:r>
      <w:r w:rsidR="00825A34">
        <w:rPr>
          <w:rFonts w:ascii="Book Antiqua" w:eastAsia="Book Antiqua" w:hAnsi="Book Antiqua" w:cs="Book Antiqua"/>
          <w:b/>
          <w:sz w:val="24"/>
          <w:szCs w:val="24"/>
        </w:rPr>
        <w:t>)</w:t>
      </w:r>
    </w:p>
    <w:p w14:paraId="0C2D106E" w14:textId="3C5DD02B" w:rsidR="00EB36FA" w:rsidRPr="007C715E" w:rsidRDefault="00825A34" w:rsidP="001F42A2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 w:rsidR="007717DF" w:rsidRPr="007717DF">
        <w:rPr>
          <w:rFonts w:ascii="Book Antiqua" w:eastAsia="Book Antiqua" w:hAnsi="Book Antiqua" w:cs="Book Antiqua"/>
          <w:sz w:val="24"/>
          <w:szCs w:val="24"/>
        </w:rPr>
        <w:t>he Court</w:t>
      </w:r>
      <w:r w:rsidR="007717DF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7717DF">
        <w:rPr>
          <w:rFonts w:ascii="Book Antiqua" w:eastAsia="Book Antiqua" w:hAnsi="Book Antiqua" w:cs="Book Antiqua"/>
          <w:sz w:val="24"/>
          <w:szCs w:val="24"/>
        </w:rPr>
        <w:t xml:space="preserve">is </w:t>
      </w:r>
      <w:r w:rsidR="000732A0" w:rsidRPr="007C715E">
        <w:rPr>
          <w:rFonts w:ascii="Book Antiqua" w:eastAsia="Book Antiqua" w:hAnsi="Book Antiqua" w:cs="Book Antiqua"/>
          <w:sz w:val="24"/>
          <w:szCs w:val="24"/>
        </w:rPr>
        <w:t xml:space="preserve">looking to </w:t>
      </w:r>
      <w:r w:rsidR="008D614F" w:rsidRPr="007C715E">
        <w:rPr>
          <w:rFonts w:ascii="Book Antiqua" w:eastAsia="Book Antiqua" w:hAnsi="Book Antiqua" w:cs="Book Antiqua"/>
          <w:sz w:val="24"/>
          <w:szCs w:val="24"/>
        </w:rPr>
        <w:t>deploy conclaves/concurrent evidence where appropriate</w:t>
      </w:r>
      <w:r w:rsidR="007717DF">
        <w:rPr>
          <w:rFonts w:ascii="Book Antiqua" w:eastAsia="Book Antiqua" w:hAnsi="Book Antiqua" w:cs="Book Antiqua"/>
          <w:sz w:val="24"/>
          <w:szCs w:val="24"/>
        </w:rPr>
        <w:t xml:space="preserve">, possibly </w:t>
      </w:r>
      <w:r w:rsidR="00FA0E51">
        <w:rPr>
          <w:rFonts w:ascii="Book Antiqua" w:eastAsia="Book Antiqua" w:hAnsi="Book Antiqua" w:cs="Book Antiqua"/>
          <w:sz w:val="24"/>
          <w:szCs w:val="24"/>
        </w:rPr>
        <w:t xml:space="preserve">in </w:t>
      </w:r>
      <w:r w:rsidR="008D614F" w:rsidRPr="007C715E">
        <w:rPr>
          <w:rFonts w:ascii="Book Antiqua" w:eastAsia="Book Antiqua" w:hAnsi="Book Antiqua" w:cs="Book Antiqua"/>
          <w:sz w:val="24"/>
          <w:szCs w:val="24"/>
        </w:rPr>
        <w:t>complex med</w:t>
      </w:r>
      <w:r>
        <w:rPr>
          <w:rFonts w:ascii="Book Antiqua" w:eastAsia="Book Antiqua" w:hAnsi="Book Antiqua" w:cs="Book Antiqua"/>
          <w:sz w:val="24"/>
          <w:szCs w:val="24"/>
        </w:rPr>
        <w:t>ical</w:t>
      </w:r>
      <w:r w:rsidR="008D614F" w:rsidRPr="007C715E">
        <w:rPr>
          <w:rFonts w:ascii="Book Antiqua" w:eastAsia="Book Antiqua" w:hAnsi="Book Antiqua" w:cs="Book Antiqua"/>
          <w:sz w:val="24"/>
          <w:szCs w:val="24"/>
        </w:rPr>
        <w:t xml:space="preserve"> neg</w:t>
      </w:r>
      <w:r>
        <w:rPr>
          <w:rFonts w:ascii="Book Antiqua" w:eastAsia="Book Antiqua" w:hAnsi="Book Antiqua" w:cs="Book Antiqua"/>
          <w:sz w:val="24"/>
          <w:szCs w:val="24"/>
        </w:rPr>
        <w:t>ligence</w:t>
      </w:r>
      <w:r w:rsidR="008D614F" w:rsidRPr="007C715E">
        <w:rPr>
          <w:rFonts w:ascii="Book Antiqua" w:eastAsia="Book Antiqua" w:hAnsi="Book Antiqua" w:cs="Book Antiqua"/>
          <w:sz w:val="24"/>
          <w:szCs w:val="24"/>
        </w:rPr>
        <w:t xml:space="preserve"> matters</w:t>
      </w:r>
      <w:r w:rsidR="00FA0E51">
        <w:rPr>
          <w:rFonts w:ascii="Book Antiqua" w:eastAsia="Book Antiqua" w:hAnsi="Book Antiqua" w:cs="Book Antiqua"/>
          <w:sz w:val="24"/>
          <w:szCs w:val="24"/>
        </w:rPr>
        <w:t>.</w:t>
      </w:r>
      <w:r w:rsidR="007717DF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EB36FA" w:rsidRPr="007C715E">
        <w:rPr>
          <w:rFonts w:ascii="Book Antiqua" w:eastAsia="Book Antiqua" w:hAnsi="Book Antiqua" w:cs="Book Antiqua"/>
          <w:sz w:val="24"/>
          <w:szCs w:val="24"/>
        </w:rPr>
        <w:t xml:space="preserve">Practitioners </w:t>
      </w:r>
      <w:r w:rsidR="00DC7C1E">
        <w:rPr>
          <w:rFonts w:ascii="Book Antiqua" w:eastAsia="Book Antiqua" w:hAnsi="Book Antiqua" w:cs="Book Antiqua"/>
          <w:sz w:val="24"/>
          <w:szCs w:val="24"/>
        </w:rPr>
        <w:t xml:space="preserve">are </w:t>
      </w:r>
      <w:r w:rsidR="00EB36FA" w:rsidRPr="007C715E">
        <w:rPr>
          <w:rFonts w:ascii="Book Antiqua" w:eastAsia="Book Antiqua" w:hAnsi="Book Antiqua" w:cs="Book Antiqua"/>
          <w:sz w:val="24"/>
          <w:szCs w:val="24"/>
        </w:rPr>
        <w:t xml:space="preserve">asked to consider this as an option at </w:t>
      </w:r>
      <w:r w:rsidR="009104E7">
        <w:rPr>
          <w:rFonts w:ascii="Book Antiqua" w:eastAsia="Book Antiqua" w:hAnsi="Book Antiqua" w:cs="Book Antiqua"/>
          <w:sz w:val="24"/>
          <w:szCs w:val="24"/>
        </w:rPr>
        <w:t xml:space="preserve">an </w:t>
      </w:r>
      <w:r w:rsidR="00EB36FA" w:rsidRPr="007C715E">
        <w:rPr>
          <w:rFonts w:ascii="Book Antiqua" w:eastAsia="Book Antiqua" w:hAnsi="Book Antiqua" w:cs="Book Antiqua"/>
          <w:sz w:val="24"/>
          <w:szCs w:val="24"/>
        </w:rPr>
        <w:t>early stage</w:t>
      </w:r>
      <w:r w:rsidR="007717DF">
        <w:rPr>
          <w:rFonts w:ascii="Book Antiqua" w:eastAsia="Book Antiqua" w:hAnsi="Book Antiqua" w:cs="Book Antiqua"/>
          <w:sz w:val="24"/>
          <w:szCs w:val="24"/>
        </w:rPr>
        <w:t xml:space="preserve">, in particular whether a joint report would be useful. </w:t>
      </w:r>
    </w:p>
    <w:p w14:paraId="33E02CCF" w14:textId="77777777" w:rsidR="00065356" w:rsidRPr="007C715E" w:rsidRDefault="00065356" w:rsidP="00065356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2CBC1805" w14:textId="4BDAF9CB" w:rsidR="007717DF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7717DF">
        <w:rPr>
          <w:rFonts w:ascii="Book Antiqua" w:eastAsia="Book Antiqua" w:hAnsi="Book Antiqua" w:cs="Book Antiqua"/>
          <w:b/>
          <w:sz w:val="24"/>
          <w:szCs w:val="24"/>
        </w:rPr>
        <w:t>Final directions and immediate pre-trial preparation</w:t>
      </w:r>
      <w:r w:rsidR="00A46820" w:rsidRPr="007C715E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396D5849" w14:textId="0EF1CFC9" w:rsidR="00ED5237" w:rsidRDefault="001F42A2" w:rsidP="001F42A2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J</w:t>
      </w:r>
      <w:r w:rsidR="00ED5237">
        <w:rPr>
          <w:rFonts w:ascii="Book Antiqua" w:eastAsia="Book Antiqua" w:hAnsi="Book Antiqua" w:cs="Book Antiqua"/>
          <w:sz w:val="24"/>
          <w:szCs w:val="24"/>
        </w:rPr>
        <w:t xml:space="preserve">oint memoranda of issues </w:t>
      </w:r>
      <w:r>
        <w:rPr>
          <w:rFonts w:ascii="Book Antiqua" w:eastAsia="Book Antiqua" w:hAnsi="Book Antiqua" w:cs="Book Antiqua"/>
          <w:sz w:val="24"/>
          <w:szCs w:val="24"/>
        </w:rPr>
        <w:t xml:space="preserve">are being routinely ordered </w:t>
      </w:r>
      <w:r w:rsidR="00ED5237">
        <w:rPr>
          <w:rFonts w:ascii="Book Antiqua" w:eastAsia="Book Antiqua" w:hAnsi="Book Antiqua" w:cs="Book Antiqua"/>
          <w:sz w:val="24"/>
          <w:szCs w:val="24"/>
        </w:rPr>
        <w:t>however the documents receiv</w:t>
      </w:r>
      <w:r w:rsidR="001F1F9E">
        <w:rPr>
          <w:rFonts w:ascii="Book Antiqua" w:eastAsia="Book Antiqua" w:hAnsi="Book Antiqua" w:cs="Book Antiqua"/>
          <w:sz w:val="24"/>
          <w:szCs w:val="24"/>
        </w:rPr>
        <w:t>ed</w:t>
      </w:r>
      <w:r w:rsidR="00ED5237">
        <w:rPr>
          <w:rFonts w:ascii="Book Antiqua" w:eastAsia="Book Antiqua" w:hAnsi="Book Antiqua" w:cs="Book Antiqua"/>
          <w:sz w:val="24"/>
          <w:szCs w:val="24"/>
        </w:rPr>
        <w:t xml:space="preserve"> are </w:t>
      </w:r>
      <w:r w:rsidR="001F1F9E">
        <w:rPr>
          <w:rFonts w:ascii="Book Antiqua" w:eastAsia="Book Antiqua" w:hAnsi="Book Antiqua" w:cs="Book Antiqua"/>
          <w:sz w:val="24"/>
          <w:szCs w:val="24"/>
        </w:rPr>
        <w:t xml:space="preserve">often </w:t>
      </w:r>
      <w:r w:rsidR="00ED5237">
        <w:rPr>
          <w:rFonts w:ascii="Book Antiqua" w:eastAsia="Book Antiqua" w:hAnsi="Book Antiqua" w:cs="Book Antiqua"/>
          <w:sz w:val="24"/>
          <w:szCs w:val="24"/>
        </w:rPr>
        <w:t xml:space="preserve">less than helpful. </w:t>
      </w:r>
      <w:r w:rsidR="00806F99">
        <w:rPr>
          <w:rFonts w:ascii="Book Antiqua" w:eastAsia="Book Antiqua" w:hAnsi="Book Antiqua" w:cs="Book Antiqua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z w:val="24"/>
          <w:szCs w:val="24"/>
        </w:rPr>
        <w:t xml:space="preserve">sample document </w:t>
      </w:r>
      <w:r w:rsidR="00806F99">
        <w:rPr>
          <w:rFonts w:ascii="Book Antiqua" w:eastAsia="Book Antiqua" w:hAnsi="Book Antiqua" w:cs="Book Antiqua"/>
          <w:sz w:val="24"/>
          <w:szCs w:val="24"/>
        </w:rPr>
        <w:t xml:space="preserve">will be made </w:t>
      </w:r>
      <w:r>
        <w:rPr>
          <w:rFonts w:ascii="Book Antiqua" w:eastAsia="Book Antiqua" w:hAnsi="Book Antiqua" w:cs="Book Antiqua"/>
          <w:sz w:val="24"/>
          <w:szCs w:val="24"/>
        </w:rPr>
        <w:t xml:space="preserve">available </w:t>
      </w:r>
      <w:r w:rsidR="00806F99">
        <w:rPr>
          <w:rFonts w:ascii="Book Antiqua" w:eastAsia="Book Antiqua" w:hAnsi="Book Antiqua" w:cs="Book Antiqua"/>
          <w:sz w:val="24"/>
          <w:szCs w:val="24"/>
        </w:rPr>
        <w:t xml:space="preserve">on the website </w:t>
      </w:r>
      <w:r>
        <w:rPr>
          <w:rFonts w:ascii="Book Antiqua" w:eastAsia="Book Antiqua" w:hAnsi="Book Antiqua" w:cs="Book Antiqua"/>
          <w:sz w:val="24"/>
          <w:szCs w:val="24"/>
        </w:rPr>
        <w:t>for practitioners to use as a guide to the type of information/detail required.</w:t>
      </w:r>
    </w:p>
    <w:p w14:paraId="69AEF1FE" w14:textId="76235EBA" w:rsidR="001F42A2" w:rsidRDefault="00ED5237" w:rsidP="001F42A2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 w:rsidRPr="001F42A2">
        <w:rPr>
          <w:rFonts w:ascii="Book Antiqua" w:eastAsia="Book Antiqua" w:hAnsi="Book Antiqua" w:cs="Book Antiqua"/>
          <w:sz w:val="24"/>
          <w:szCs w:val="24"/>
        </w:rPr>
        <w:t xml:space="preserve">The need for and utility of Court Books </w:t>
      </w:r>
      <w:r w:rsidR="00DF053E">
        <w:rPr>
          <w:rFonts w:ascii="Book Antiqua" w:eastAsia="Book Antiqua" w:hAnsi="Book Antiqua" w:cs="Book Antiqua"/>
          <w:sz w:val="24"/>
          <w:szCs w:val="24"/>
        </w:rPr>
        <w:t xml:space="preserve">in the Personal Injuries List </w:t>
      </w:r>
      <w:r w:rsidRPr="001F42A2">
        <w:rPr>
          <w:rFonts w:ascii="Book Antiqua" w:eastAsia="Book Antiqua" w:hAnsi="Book Antiqua" w:cs="Book Antiqua"/>
          <w:sz w:val="24"/>
          <w:szCs w:val="24"/>
        </w:rPr>
        <w:t>was discussed</w:t>
      </w:r>
      <w:r w:rsidR="001F42A2" w:rsidRPr="001F42A2">
        <w:rPr>
          <w:rFonts w:ascii="Book Antiqua" w:eastAsia="Book Antiqua" w:hAnsi="Book Antiqua" w:cs="Book Antiqua"/>
          <w:sz w:val="24"/>
          <w:szCs w:val="24"/>
        </w:rPr>
        <w:t xml:space="preserve">. The Court is considering whether it may in future merely order the provision </w:t>
      </w:r>
      <w:r w:rsidR="009A23CA">
        <w:rPr>
          <w:rFonts w:ascii="Book Antiqua" w:eastAsia="Book Antiqua" w:hAnsi="Book Antiqua" w:cs="Book Antiqua"/>
          <w:sz w:val="24"/>
          <w:szCs w:val="24"/>
        </w:rPr>
        <w:t>of key documents e.g. medical/expert reports i</w:t>
      </w:r>
      <w:r w:rsidR="001F42A2" w:rsidRPr="001F42A2">
        <w:rPr>
          <w:rFonts w:ascii="Book Antiqua" w:eastAsia="Book Antiqua" w:hAnsi="Book Antiqua" w:cs="Book Antiqua"/>
          <w:sz w:val="24"/>
          <w:szCs w:val="24"/>
        </w:rPr>
        <w:t>nstead.</w:t>
      </w:r>
    </w:p>
    <w:p w14:paraId="77868A5E" w14:textId="77777777" w:rsidR="001F42A2" w:rsidRPr="001F42A2" w:rsidRDefault="001F42A2" w:rsidP="001F42A2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1AE9132C" w14:textId="2EA43D86" w:rsidR="00083DD1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083DD1">
        <w:rPr>
          <w:rFonts w:ascii="Book Antiqua" w:eastAsia="Book Antiqua" w:hAnsi="Book Antiqua" w:cs="Book Antiqua"/>
          <w:b/>
          <w:sz w:val="24"/>
          <w:szCs w:val="24"/>
        </w:rPr>
        <w:t>Technology</w:t>
      </w:r>
    </w:p>
    <w:p w14:paraId="2F63BC12" w14:textId="252FDEB9" w:rsidR="00EB36FA" w:rsidRPr="007C715E" w:rsidRDefault="001F42A2" w:rsidP="006D0D08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Off the back of a recent eTrial in the Major Torts List, the Court is exploring </w:t>
      </w:r>
      <w:r w:rsidR="00A975FE">
        <w:rPr>
          <w:rFonts w:ascii="Book Antiqua" w:eastAsia="Book Antiqua" w:hAnsi="Book Antiqua" w:cs="Book Antiqua"/>
          <w:sz w:val="24"/>
          <w:szCs w:val="24"/>
        </w:rPr>
        <w:t xml:space="preserve">ways to introduce this type of trial in </w:t>
      </w:r>
      <w:r w:rsidR="00DA6671">
        <w:rPr>
          <w:rFonts w:ascii="Book Antiqua" w:eastAsia="Book Antiqua" w:hAnsi="Book Antiqua" w:cs="Book Antiqua"/>
          <w:sz w:val="24"/>
          <w:szCs w:val="24"/>
        </w:rPr>
        <w:t xml:space="preserve">document heavy </w:t>
      </w:r>
      <w:r w:rsidR="0014640C">
        <w:rPr>
          <w:rFonts w:ascii="Book Antiqua" w:eastAsia="Book Antiqua" w:hAnsi="Book Antiqua" w:cs="Book Antiqua"/>
          <w:sz w:val="24"/>
          <w:szCs w:val="24"/>
        </w:rPr>
        <w:t>matters</w:t>
      </w:r>
      <w:r w:rsidR="00A975FE">
        <w:rPr>
          <w:rFonts w:ascii="Book Antiqua" w:eastAsia="Book Antiqua" w:hAnsi="Book Antiqua" w:cs="Book Antiqua"/>
          <w:sz w:val="24"/>
          <w:szCs w:val="24"/>
        </w:rPr>
        <w:t>.</w:t>
      </w:r>
    </w:p>
    <w:p w14:paraId="65905F1E" w14:textId="77777777" w:rsidR="00065356" w:rsidRPr="007C715E" w:rsidRDefault="00065356" w:rsidP="00065356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4A343A3B" w14:textId="280CE402" w:rsidR="00EB2641" w:rsidRDefault="625DFF9F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EB2641">
        <w:rPr>
          <w:rFonts w:ascii="Book Antiqua" w:eastAsia="Book Antiqua" w:hAnsi="Book Antiqua" w:cs="Book Antiqua"/>
          <w:b/>
          <w:sz w:val="24"/>
          <w:szCs w:val="24"/>
        </w:rPr>
        <w:t xml:space="preserve">Section 134AB(30) </w:t>
      </w:r>
      <w:r w:rsidR="00A975FE">
        <w:rPr>
          <w:rFonts w:ascii="Book Antiqua" w:eastAsia="Book Antiqua" w:hAnsi="Book Antiqua" w:cs="Book Antiqua"/>
          <w:b/>
          <w:i/>
          <w:sz w:val="24"/>
          <w:szCs w:val="24"/>
        </w:rPr>
        <w:t xml:space="preserve">Accident Compensation Act 1985 </w:t>
      </w:r>
      <w:r w:rsidRPr="00EB2641">
        <w:rPr>
          <w:rFonts w:ascii="Book Antiqua" w:eastAsia="Book Antiqua" w:hAnsi="Book Antiqua" w:cs="Book Antiqua"/>
          <w:b/>
          <w:sz w:val="24"/>
          <w:szCs w:val="24"/>
        </w:rPr>
        <w:t>costs applications</w:t>
      </w:r>
      <w:r w:rsidR="00A46820" w:rsidRPr="007C715E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6F6075EF" w14:textId="599CB061" w:rsidR="00EB36FA" w:rsidRPr="007C715E" w:rsidRDefault="00A975FE" w:rsidP="006D0D08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These </w:t>
      </w:r>
      <w:r w:rsidR="00EB2641">
        <w:rPr>
          <w:rFonts w:ascii="Book Antiqua" w:eastAsia="Book Antiqua" w:hAnsi="Book Antiqua" w:cs="Book Antiqua"/>
          <w:sz w:val="24"/>
          <w:szCs w:val="24"/>
        </w:rPr>
        <w:t>applications are now dealt with by J</w:t>
      </w:r>
      <w:r>
        <w:rPr>
          <w:rFonts w:ascii="Book Antiqua" w:eastAsia="Book Antiqua" w:hAnsi="Book Antiqua" w:cs="Book Antiqua"/>
          <w:sz w:val="24"/>
          <w:szCs w:val="24"/>
        </w:rPr>
        <w:t xml:space="preserve">udicial </w:t>
      </w:r>
      <w:r w:rsidR="00EB2641"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egistrar</w:t>
      </w:r>
      <w:r w:rsidR="00EB2641">
        <w:rPr>
          <w:rFonts w:ascii="Book Antiqua" w:eastAsia="Book Antiqua" w:hAnsi="Book Antiqua" w:cs="Book Antiqua"/>
          <w:sz w:val="24"/>
          <w:szCs w:val="24"/>
        </w:rPr>
        <w:t xml:space="preserve"> Ware instead of Associate Justice Daly and the Court</w:t>
      </w:r>
      <w:r w:rsidR="00B97D13">
        <w:rPr>
          <w:rFonts w:ascii="Book Antiqua" w:eastAsia="Book Antiqua" w:hAnsi="Book Antiqua" w:cs="Book Antiqua"/>
          <w:sz w:val="24"/>
          <w:szCs w:val="24"/>
        </w:rPr>
        <w:t xml:space="preserve">’s requirements concerning supporting material for such applications </w:t>
      </w:r>
      <w:r w:rsidR="000D4057">
        <w:rPr>
          <w:rFonts w:ascii="Book Antiqua" w:eastAsia="Book Antiqua" w:hAnsi="Book Antiqua" w:cs="Book Antiqua"/>
          <w:sz w:val="24"/>
          <w:szCs w:val="24"/>
        </w:rPr>
        <w:t>are</w:t>
      </w:r>
      <w:r w:rsidR="00B97D13">
        <w:rPr>
          <w:rFonts w:ascii="Book Antiqua" w:eastAsia="Book Antiqua" w:hAnsi="Book Antiqua" w:cs="Book Antiqua"/>
          <w:sz w:val="24"/>
          <w:szCs w:val="24"/>
        </w:rPr>
        <w:t xml:space="preserve"> under review.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9104E7">
        <w:rPr>
          <w:rFonts w:ascii="Book Antiqua" w:eastAsia="Book Antiqua" w:hAnsi="Book Antiqua" w:cs="Book Antiqua"/>
          <w:sz w:val="24"/>
          <w:szCs w:val="24"/>
        </w:rPr>
        <w:t>A</w:t>
      </w:r>
      <w:bookmarkStart w:id="0" w:name="_GoBack"/>
      <w:bookmarkEnd w:id="0"/>
      <w:r w:rsidR="00B97D13">
        <w:rPr>
          <w:rFonts w:ascii="Book Antiqua" w:eastAsia="Book Antiqua" w:hAnsi="Book Antiqua" w:cs="Book Antiqua"/>
          <w:sz w:val="24"/>
          <w:szCs w:val="24"/>
        </w:rPr>
        <w:t xml:space="preserve">pplications are often made after final orders dismissing a proceeding and this is causing issues for the Court. </w:t>
      </w:r>
      <w:r w:rsidR="000C187D">
        <w:rPr>
          <w:rFonts w:ascii="Book Antiqua" w:eastAsia="Book Antiqua" w:hAnsi="Book Antiqua" w:cs="Book Antiqua"/>
          <w:sz w:val="24"/>
          <w:szCs w:val="24"/>
        </w:rPr>
        <w:t>It was suggested that plaintiff practitioners include liberty to apply for such orders (where relevant) when seeking final orders in respect of the claim against the defendant.</w:t>
      </w:r>
    </w:p>
    <w:p w14:paraId="2DB64204" w14:textId="77777777" w:rsidR="00065356" w:rsidRPr="007C715E" w:rsidRDefault="00065356" w:rsidP="00065356">
      <w:pPr>
        <w:pStyle w:val="ListParagraph"/>
        <w:rPr>
          <w:rFonts w:ascii="Book Antiqua" w:eastAsia="Book Antiqua" w:hAnsi="Book Antiqua" w:cs="Book Antiqua"/>
          <w:sz w:val="24"/>
          <w:szCs w:val="24"/>
        </w:rPr>
      </w:pPr>
    </w:p>
    <w:p w14:paraId="0D1CE337" w14:textId="2CF6B893" w:rsidR="00EB2641" w:rsidRDefault="00921059" w:rsidP="625DFF9F">
      <w:pPr>
        <w:pStyle w:val="ListParagraph"/>
        <w:numPr>
          <w:ilvl w:val="0"/>
          <w:numId w:val="1"/>
        </w:numPr>
        <w:rPr>
          <w:rFonts w:ascii="Book Antiqua" w:eastAsia="Book Antiqua" w:hAnsi="Book Antiqua" w:cs="Book Antiqua"/>
          <w:sz w:val="24"/>
          <w:szCs w:val="24"/>
        </w:rPr>
      </w:pPr>
      <w:r w:rsidRPr="00EB2641">
        <w:rPr>
          <w:rFonts w:ascii="Book Antiqua" w:eastAsia="Book Antiqua" w:hAnsi="Book Antiqua" w:cs="Book Antiqua"/>
          <w:b/>
          <w:sz w:val="24"/>
          <w:szCs w:val="24"/>
        </w:rPr>
        <w:t xml:space="preserve">Contact details </w:t>
      </w:r>
      <w:r w:rsidR="625DFF9F" w:rsidRPr="00EB2641">
        <w:rPr>
          <w:rFonts w:ascii="Book Antiqua" w:eastAsia="Book Antiqua" w:hAnsi="Book Antiqua" w:cs="Book Antiqua"/>
          <w:b/>
          <w:sz w:val="24"/>
          <w:szCs w:val="24"/>
        </w:rPr>
        <w:t>on court documents</w:t>
      </w:r>
      <w:r w:rsidR="00A46820" w:rsidRPr="007C715E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671FB610" w14:textId="6A3595A6" w:rsidR="625DFF9F" w:rsidRPr="007C715E" w:rsidRDefault="00A0051E" w:rsidP="006D0D08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Practitioners were reminded of Rules 27.03(8)(c) and 27.03(11)(b)</w:t>
      </w:r>
      <w:r w:rsidR="00D336EC">
        <w:rPr>
          <w:rFonts w:ascii="Book Antiqua" w:eastAsia="Book Antiqua" w:hAnsi="Book Antiqua" w:cs="Book Antiqua"/>
          <w:sz w:val="24"/>
          <w:szCs w:val="24"/>
        </w:rPr>
        <w:t xml:space="preserve"> which require the name </w:t>
      </w:r>
      <w:r w:rsidR="00094A17">
        <w:rPr>
          <w:rFonts w:ascii="Book Antiqua" w:eastAsia="Book Antiqua" w:hAnsi="Book Antiqua" w:cs="Book Antiqua"/>
          <w:sz w:val="24"/>
          <w:szCs w:val="24"/>
        </w:rPr>
        <w:t xml:space="preserve">and </w:t>
      </w:r>
      <w:r w:rsidR="00EB2641">
        <w:rPr>
          <w:rFonts w:ascii="Book Antiqua" w:eastAsia="Book Antiqua" w:hAnsi="Book Antiqua" w:cs="Book Antiqua"/>
          <w:sz w:val="24"/>
          <w:szCs w:val="24"/>
        </w:rPr>
        <w:t xml:space="preserve">email address </w:t>
      </w:r>
      <w:r w:rsidR="00D336EC">
        <w:rPr>
          <w:rFonts w:ascii="Book Antiqua" w:eastAsia="Book Antiqua" w:hAnsi="Book Antiqua" w:cs="Book Antiqua"/>
          <w:sz w:val="24"/>
          <w:szCs w:val="24"/>
        </w:rPr>
        <w:t xml:space="preserve">of an individual within a firm who can be contacted in respect of a proceeding </w:t>
      </w:r>
      <w:r w:rsidR="00094A17">
        <w:rPr>
          <w:rFonts w:ascii="Book Antiqua" w:eastAsia="Book Antiqua" w:hAnsi="Book Antiqua" w:cs="Book Antiqua"/>
          <w:sz w:val="24"/>
          <w:szCs w:val="24"/>
        </w:rPr>
        <w:t xml:space="preserve">to be included </w:t>
      </w:r>
      <w:r w:rsidR="00EB2641">
        <w:rPr>
          <w:rFonts w:ascii="Book Antiqua" w:eastAsia="Book Antiqua" w:hAnsi="Book Antiqua" w:cs="Book Antiqua"/>
          <w:sz w:val="24"/>
          <w:szCs w:val="24"/>
        </w:rPr>
        <w:t>on court documents</w:t>
      </w:r>
      <w:r w:rsidR="00D336EC">
        <w:rPr>
          <w:rFonts w:ascii="Book Antiqua" w:eastAsia="Book Antiqua" w:hAnsi="Book Antiqua" w:cs="Book Antiqua"/>
          <w:sz w:val="24"/>
          <w:szCs w:val="24"/>
        </w:rPr>
        <w:t xml:space="preserve">. </w:t>
      </w:r>
      <w:r w:rsidR="00EB264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D336EC">
        <w:rPr>
          <w:rFonts w:ascii="Book Antiqua" w:eastAsia="Book Antiqua" w:hAnsi="Book Antiqua" w:cs="Book Antiqua"/>
          <w:sz w:val="24"/>
          <w:szCs w:val="24"/>
        </w:rPr>
        <w:t xml:space="preserve">Registry staff have been instructed to reject documents which do not comply with these rules which facilitate important communications between the Court and legal representatives, particularly </w:t>
      </w:r>
      <w:r w:rsidR="00094A17">
        <w:rPr>
          <w:rFonts w:ascii="Book Antiqua" w:eastAsia="Book Antiqua" w:hAnsi="Book Antiqua" w:cs="Book Antiqua"/>
          <w:sz w:val="24"/>
          <w:szCs w:val="24"/>
        </w:rPr>
        <w:t>where a large firm is involved</w:t>
      </w:r>
      <w:r w:rsidR="00D336EC">
        <w:rPr>
          <w:rFonts w:ascii="Book Antiqua" w:eastAsia="Book Antiqua" w:hAnsi="Book Antiqua" w:cs="Book Antiqua"/>
          <w:sz w:val="24"/>
          <w:szCs w:val="24"/>
        </w:rPr>
        <w:t>.</w:t>
      </w:r>
    </w:p>
    <w:sectPr w:rsidR="625DFF9F" w:rsidRPr="007C715E" w:rsidSect="000E6A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9BF2E" w14:textId="77777777" w:rsidR="00580A7F" w:rsidRDefault="00580A7F" w:rsidP="00580A7F">
      <w:pPr>
        <w:spacing w:after="0" w:line="240" w:lineRule="auto"/>
      </w:pPr>
      <w:r>
        <w:separator/>
      </w:r>
    </w:p>
  </w:endnote>
  <w:endnote w:type="continuationSeparator" w:id="0">
    <w:p w14:paraId="0DFC2794" w14:textId="77777777" w:rsidR="00580A7F" w:rsidRDefault="00580A7F" w:rsidP="0058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05B11" w14:textId="77777777" w:rsidR="00580A7F" w:rsidRDefault="00580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3392" w14:textId="77777777" w:rsidR="00580A7F" w:rsidRDefault="00580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B17F" w14:textId="77777777" w:rsidR="00580A7F" w:rsidRDefault="00580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97A8" w14:textId="77777777" w:rsidR="00580A7F" w:rsidRDefault="00580A7F" w:rsidP="00580A7F">
      <w:pPr>
        <w:spacing w:after="0" w:line="240" w:lineRule="auto"/>
      </w:pPr>
      <w:r>
        <w:separator/>
      </w:r>
    </w:p>
  </w:footnote>
  <w:footnote w:type="continuationSeparator" w:id="0">
    <w:p w14:paraId="72950165" w14:textId="77777777" w:rsidR="00580A7F" w:rsidRDefault="00580A7F" w:rsidP="0058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4F6" w14:textId="77777777" w:rsidR="00580A7F" w:rsidRDefault="00580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BDE1" w14:textId="09D12D5C" w:rsidR="00580A7F" w:rsidRDefault="00580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8F21" w14:textId="77777777" w:rsidR="00580A7F" w:rsidRDefault="00580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BE7"/>
    <w:multiLevelType w:val="hybridMultilevel"/>
    <w:tmpl w:val="80A0D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61E4A"/>
    <w:multiLevelType w:val="hybridMultilevel"/>
    <w:tmpl w:val="D9D43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807CC"/>
    <w:multiLevelType w:val="hybridMultilevel"/>
    <w:tmpl w:val="A8F69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22071"/>
    <w:multiLevelType w:val="hybridMultilevel"/>
    <w:tmpl w:val="34CCC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3CEE"/>
    <w:multiLevelType w:val="hybridMultilevel"/>
    <w:tmpl w:val="58D20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E"/>
    <w:rsid w:val="00065356"/>
    <w:rsid w:val="000732A0"/>
    <w:rsid w:val="00083DD1"/>
    <w:rsid w:val="00084BA8"/>
    <w:rsid w:val="00094A17"/>
    <w:rsid w:val="000C187D"/>
    <w:rsid w:val="000D4057"/>
    <w:rsid w:val="000E2236"/>
    <w:rsid w:val="000E500F"/>
    <w:rsid w:val="000E60C2"/>
    <w:rsid w:val="000E6A03"/>
    <w:rsid w:val="001220DC"/>
    <w:rsid w:val="0014640C"/>
    <w:rsid w:val="00152CF4"/>
    <w:rsid w:val="00165FCA"/>
    <w:rsid w:val="00173810"/>
    <w:rsid w:val="001A4499"/>
    <w:rsid w:val="001B7C57"/>
    <w:rsid w:val="001C186C"/>
    <w:rsid w:val="001F1F9E"/>
    <w:rsid w:val="001F42A2"/>
    <w:rsid w:val="002534C7"/>
    <w:rsid w:val="00270DEF"/>
    <w:rsid w:val="00287CAB"/>
    <w:rsid w:val="002E0B9B"/>
    <w:rsid w:val="00330779"/>
    <w:rsid w:val="003570D0"/>
    <w:rsid w:val="003F62AF"/>
    <w:rsid w:val="004950CA"/>
    <w:rsid w:val="004D740D"/>
    <w:rsid w:val="004E23C6"/>
    <w:rsid w:val="00504CE6"/>
    <w:rsid w:val="00511B3A"/>
    <w:rsid w:val="00523720"/>
    <w:rsid w:val="005245E1"/>
    <w:rsid w:val="00533116"/>
    <w:rsid w:val="00580A7F"/>
    <w:rsid w:val="0059204D"/>
    <w:rsid w:val="005B0DFB"/>
    <w:rsid w:val="005C6F0C"/>
    <w:rsid w:val="005F423E"/>
    <w:rsid w:val="00662CF3"/>
    <w:rsid w:val="0068352C"/>
    <w:rsid w:val="00695792"/>
    <w:rsid w:val="006D0D08"/>
    <w:rsid w:val="007717DF"/>
    <w:rsid w:val="007B5749"/>
    <w:rsid w:val="007C715E"/>
    <w:rsid w:val="007F6D3A"/>
    <w:rsid w:val="007F759A"/>
    <w:rsid w:val="00806F99"/>
    <w:rsid w:val="00823AE8"/>
    <w:rsid w:val="00825A34"/>
    <w:rsid w:val="008916AF"/>
    <w:rsid w:val="008B7509"/>
    <w:rsid w:val="008D614F"/>
    <w:rsid w:val="009104E7"/>
    <w:rsid w:val="0091438E"/>
    <w:rsid w:val="00921059"/>
    <w:rsid w:val="0093050F"/>
    <w:rsid w:val="00955E6B"/>
    <w:rsid w:val="00960BCA"/>
    <w:rsid w:val="009709AF"/>
    <w:rsid w:val="009A23CA"/>
    <w:rsid w:val="009D3E06"/>
    <w:rsid w:val="009F2B33"/>
    <w:rsid w:val="00A0051E"/>
    <w:rsid w:val="00A46820"/>
    <w:rsid w:val="00A66383"/>
    <w:rsid w:val="00A83A78"/>
    <w:rsid w:val="00A94ECE"/>
    <w:rsid w:val="00A975FE"/>
    <w:rsid w:val="00AB447D"/>
    <w:rsid w:val="00AB4C3E"/>
    <w:rsid w:val="00AB6193"/>
    <w:rsid w:val="00AD5F63"/>
    <w:rsid w:val="00B3043A"/>
    <w:rsid w:val="00B45BE3"/>
    <w:rsid w:val="00B97D13"/>
    <w:rsid w:val="00BC15AE"/>
    <w:rsid w:val="00C2124F"/>
    <w:rsid w:val="00C506D6"/>
    <w:rsid w:val="00C63C9B"/>
    <w:rsid w:val="00C71F13"/>
    <w:rsid w:val="00C80557"/>
    <w:rsid w:val="00C913D6"/>
    <w:rsid w:val="00C92389"/>
    <w:rsid w:val="00D336EC"/>
    <w:rsid w:val="00D64D06"/>
    <w:rsid w:val="00DA6671"/>
    <w:rsid w:val="00DC014D"/>
    <w:rsid w:val="00DC7C1E"/>
    <w:rsid w:val="00DE705A"/>
    <w:rsid w:val="00DE78E2"/>
    <w:rsid w:val="00DF053E"/>
    <w:rsid w:val="00E36A21"/>
    <w:rsid w:val="00E43E02"/>
    <w:rsid w:val="00EB2641"/>
    <w:rsid w:val="00EB36FA"/>
    <w:rsid w:val="00ED5237"/>
    <w:rsid w:val="00ED528F"/>
    <w:rsid w:val="00EE43B7"/>
    <w:rsid w:val="00F05819"/>
    <w:rsid w:val="00F116D5"/>
    <w:rsid w:val="00F254C7"/>
    <w:rsid w:val="00F31776"/>
    <w:rsid w:val="00F3521B"/>
    <w:rsid w:val="00F4565D"/>
    <w:rsid w:val="00F47340"/>
    <w:rsid w:val="00FA0E51"/>
    <w:rsid w:val="00FC35A9"/>
    <w:rsid w:val="00FC6DF1"/>
    <w:rsid w:val="625DF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ECDF7A"/>
  <w15:chartTrackingRefBased/>
  <w15:docId w15:val="{EF95CF66-A9DE-4EC2-9284-B4A95A5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7F"/>
  </w:style>
  <w:style w:type="paragraph" w:styleId="Footer">
    <w:name w:val="footer"/>
    <w:basedOn w:val="Normal"/>
    <w:link w:val="FooterChar"/>
    <w:uiPriority w:val="99"/>
    <w:unhideWhenUsed/>
    <w:rsid w:val="0058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7F"/>
  </w:style>
  <w:style w:type="character" w:styleId="Hyperlink">
    <w:name w:val="Hyperlink"/>
    <w:basedOn w:val="DefaultParagraphFont"/>
    <w:uiPriority w:val="99"/>
    <w:unhideWhenUsed/>
    <w:rsid w:val="00C92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premecourt.vic.gov.au/home/law+and+practice/specialist+areas+of+law/personal+injuri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te.clark@supcourt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E93BA0C8E0438D65F929B2A1B278" ma:contentTypeVersion="2" ma:contentTypeDescription="Create a new document." ma:contentTypeScope="" ma:versionID="4e56f45c2a2663d05f9f3b963212a6a6">
  <xsd:schema xmlns:xsd="http://www.w3.org/2001/XMLSchema" xmlns:xs="http://www.w3.org/2001/XMLSchema" xmlns:p="http://schemas.microsoft.com/office/2006/metadata/properties" xmlns:ns2="3dff93c5-8ae8-4b09-acd5-1fa0d3a9f0ee" targetNamespace="http://schemas.microsoft.com/office/2006/metadata/properties" ma:root="true" ma:fieldsID="51c651e63bb78ab22e6525df73cc97f4" ns2:_="">
    <xsd:import namespace="3dff93c5-8ae8-4b09-acd5-1fa0d3a9f0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f93c5-8ae8-4b09-acd5-1fa0d3a9f0ee">
      <UserInfo>
        <DisplayName>Kate Clark</DisplayName>
        <AccountId>29</AccountId>
        <AccountType/>
      </UserInfo>
      <UserInfo>
        <DisplayName>Marnie Kies</DisplayName>
        <AccountId>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5EDF-915F-4600-978F-2ECFDFD14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C4ACB-C781-434D-8012-99167227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AB7ED-99DF-411A-83DF-57B91534A52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dff93c5-8ae8-4b09-acd5-1fa0d3a9f0ee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4A0753-5929-4565-AF19-64177AFE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Moran</dc:creator>
  <cp:keywords/>
  <dc:description/>
  <cp:lastModifiedBy>Kate Clark</cp:lastModifiedBy>
  <cp:revision>33</cp:revision>
  <dcterms:created xsi:type="dcterms:W3CDTF">2016-05-31T04:59:00Z</dcterms:created>
  <dcterms:modified xsi:type="dcterms:W3CDTF">2016-06-23T03:01:00Z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0x010100718DE93BA0C8E0438D65F929B2A1B278</vt:lpwstr>
  </property>
</Properties>
</file>