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41" w:rsidRDefault="00585E85" w:rsidP="00C31145">
      <w:pPr>
        <w:jc w:val="center"/>
        <w:rPr>
          <w:b/>
        </w:rPr>
      </w:pPr>
      <w:r>
        <w:rPr>
          <w:noProof/>
        </w:rPr>
        <w:drawing>
          <wp:inline distT="0" distB="0" distL="0" distR="0" wp14:anchorId="3944EB38" wp14:editId="240096E4">
            <wp:extent cx="1323975" cy="1323975"/>
            <wp:effectExtent l="0" t="0" r="9525" b="9525"/>
            <wp:docPr id="1" name="Picture 8" descr="Description: G:\Communication Services\Branding\SCV Logo\SCV MASTER LOGOS\WITH ELIPSE\SCV_Red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G:\Communication Services\Branding\SCV Logo\SCV MASTER LOGOS\WITH ELIPSE\SCV_Red_RG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041" w:rsidRDefault="004D2041" w:rsidP="00C31145">
      <w:pPr>
        <w:jc w:val="center"/>
        <w:rPr>
          <w:b/>
        </w:rPr>
      </w:pPr>
      <w:r>
        <w:rPr>
          <w:b/>
        </w:rPr>
        <w:softHyphen/>
      </w:r>
    </w:p>
    <w:p w:rsidR="00C31145" w:rsidRPr="004D2041" w:rsidRDefault="004D2041" w:rsidP="004D2041">
      <w:pPr>
        <w:jc w:val="center"/>
        <w:rPr>
          <w:b/>
          <w:sz w:val="36"/>
          <w:szCs w:val="36"/>
        </w:rPr>
      </w:pPr>
      <w:r w:rsidRPr="004D2041">
        <w:rPr>
          <w:b/>
          <w:sz w:val="36"/>
          <w:szCs w:val="36"/>
        </w:rPr>
        <w:t xml:space="preserve">Practice Note No. </w:t>
      </w:r>
      <w:bookmarkStart w:id="0" w:name="_GoBack"/>
      <w:bookmarkEnd w:id="0"/>
      <w:r w:rsidR="00C43E17">
        <w:rPr>
          <w:b/>
          <w:sz w:val="36"/>
          <w:szCs w:val="36"/>
        </w:rPr>
        <w:t>13</w:t>
      </w:r>
      <w:r w:rsidR="00960D33" w:rsidRPr="004D2041">
        <w:rPr>
          <w:b/>
          <w:sz w:val="36"/>
          <w:szCs w:val="36"/>
        </w:rPr>
        <w:t xml:space="preserve"> </w:t>
      </w:r>
      <w:r w:rsidRPr="004D2041">
        <w:rPr>
          <w:b/>
          <w:sz w:val="36"/>
          <w:szCs w:val="36"/>
        </w:rPr>
        <w:t xml:space="preserve">of </w:t>
      </w:r>
      <w:r w:rsidR="00960D33" w:rsidRPr="004D2041">
        <w:rPr>
          <w:b/>
          <w:sz w:val="36"/>
          <w:szCs w:val="36"/>
        </w:rPr>
        <w:t>201</w:t>
      </w:r>
      <w:r w:rsidR="00960D33">
        <w:rPr>
          <w:b/>
          <w:sz w:val="36"/>
          <w:szCs w:val="36"/>
        </w:rPr>
        <w:t>5</w:t>
      </w:r>
    </w:p>
    <w:p w:rsidR="00863307" w:rsidRPr="004D2041" w:rsidRDefault="00863307" w:rsidP="004D2041">
      <w:pPr>
        <w:jc w:val="center"/>
        <w:rPr>
          <w:b/>
          <w:sz w:val="28"/>
        </w:rPr>
      </w:pPr>
    </w:p>
    <w:p w:rsidR="00863307" w:rsidRPr="00171D34" w:rsidRDefault="00863307" w:rsidP="004D2041">
      <w:pPr>
        <w:jc w:val="center"/>
      </w:pPr>
      <w:r w:rsidRPr="00171D34">
        <w:t xml:space="preserve">The Chief Justice has authorised the issue of the following </w:t>
      </w:r>
      <w:r w:rsidR="00417117" w:rsidRPr="00171D34">
        <w:t>Practice Note</w:t>
      </w:r>
    </w:p>
    <w:p w:rsidR="00863307" w:rsidRPr="004D2041" w:rsidRDefault="00863307" w:rsidP="004D2041">
      <w:pPr>
        <w:jc w:val="center"/>
        <w:rPr>
          <w:b/>
          <w:sz w:val="28"/>
          <w:szCs w:val="28"/>
        </w:rPr>
      </w:pPr>
    </w:p>
    <w:p w:rsidR="00C31145" w:rsidRPr="004D2041" w:rsidRDefault="00C31145" w:rsidP="004D2041">
      <w:pPr>
        <w:spacing w:line="360" w:lineRule="auto"/>
        <w:jc w:val="center"/>
        <w:rPr>
          <w:b/>
          <w:sz w:val="28"/>
          <w:szCs w:val="28"/>
        </w:rPr>
      </w:pPr>
      <w:r w:rsidRPr="004D2041">
        <w:rPr>
          <w:b/>
          <w:sz w:val="28"/>
          <w:szCs w:val="28"/>
        </w:rPr>
        <w:t xml:space="preserve">Applications under s 233 </w:t>
      </w:r>
      <w:r w:rsidR="00E16085">
        <w:rPr>
          <w:b/>
          <w:sz w:val="28"/>
          <w:szCs w:val="28"/>
        </w:rPr>
        <w:t xml:space="preserve">of the </w:t>
      </w:r>
      <w:r w:rsidRPr="004D2041">
        <w:rPr>
          <w:b/>
          <w:i/>
          <w:sz w:val="28"/>
          <w:szCs w:val="28"/>
        </w:rPr>
        <w:t xml:space="preserve">Corporations Act 2001 </w:t>
      </w:r>
      <w:r w:rsidRPr="004D2041">
        <w:rPr>
          <w:b/>
          <w:sz w:val="28"/>
          <w:szCs w:val="28"/>
        </w:rPr>
        <w:t>(</w:t>
      </w:r>
      <w:r w:rsidR="00960D33">
        <w:rPr>
          <w:b/>
          <w:sz w:val="28"/>
          <w:szCs w:val="28"/>
        </w:rPr>
        <w:t>Cth</w:t>
      </w:r>
      <w:r w:rsidRPr="004D2041">
        <w:rPr>
          <w:b/>
          <w:sz w:val="28"/>
          <w:szCs w:val="28"/>
        </w:rPr>
        <w:t>) – oppressive conduct of the affairs of a company</w:t>
      </w:r>
    </w:p>
    <w:p w:rsidR="00C31145" w:rsidRDefault="00C31145" w:rsidP="00C31145">
      <w:pPr>
        <w:jc w:val="center"/>
        <w:rPr>
          <w:b/>
        </w:rPr>
      </w:pPr>
    </w:p>
    <w:p w:rsidR="00417117" w:rsidRPr="004D2041" w:rsidRDefault="00417117" w:rsidP="00417117">
      <w:pPr>
        <w:spacing w:after="240" w:line="360" w:lineRule="auto"/>
        <w:ind w:left="720" w:hanging="720"/>
        <w:rPr>
          <w:sz w:val="22"/>
          <w:szCs w:val="22"/>
        </w:rPr>
      </w:pPr>
      <w:r w:rsidRPr="004D2041">
        <w:rPr>
          <w:sz w:val="22"/>
          <w:szCs w:val="22"/>
        </w:rPr>
        <w:t>1.</w:t>
      </w:r>
      <w:r w:rsidRPr="004D2041">
        <w:rPr>
          <w:sz w:val="22"/>
          <w:szCs w:val="22"/>
        </w:rPr>
        <w:tab/>
      </w:r>
      <w:r w:rsidR="00C31145" w:rsidRPr="004D2041">
        <w:rPr>
          <w:sz w:val="22"/>
          <w:szCs w:val="22"/>
        </w:rPr>
        <w:t xml:space="preserve">Many applications each month are issued in the Court seeking relief under s 233 of the </w:t>
      </w:r>
      <w:r w:rsidR="00C31145" w:rsidRPr="004D2041">
        <w:rPr>
          <w:i/>
          <w:sz w:val="22"/>
          <w:szCs w:val="22"/>
        </w:rPr>
        <w:t>Corporations Act 2001</w:t>
      </w:r>
      <w:r w:rsidR="00C31145" w:rsidRPr="004D2041">
        <w:rPr>
          <w:sz w:val="22"/>
          <w:szCs w:val="22"/>
        </w:rPr>
        <w:t xml:space="preserve"> (</w:t>
      </w:r>
      <w:r w:rsidR="008A66DA" w:rsidRPr="004D2041">
        <w:rPr>
          <w:sz w:val="22"/>
          <w:szCs w:val="22"/>
        </w:rPr>
        <w:t>Cth</w:t>
      </w:r>
      <w:r w:rsidR="00C31145" w:rsidRPr="004D2041">
        <w:rPr>
          <w:sz w:val="22"/>
          <w:szCs w:val="22"/>
        </w:rPr>
        <w:t xml:space="preserve">) </w:t>
      </w:r>
      <w:r w:rsidR="00E16085">
        <w:rPr>
          <w:sz w:val="22"/>
          <w:szCs w:val="22"/>
        </w:rPr>
        <w:t>(“</w:t>
      </w:r>
      <w:r w:rsidR="00E16085" w:rsidRPr="00E16085">
        <w:rPr>
          <w:b/>
          <w:i/>
          <w:sz w:val="22"/>
          <w:szCs w:val="22"/>
        </w:rPr>
        <w:t>Corporations Act</w:t>
      </w:r>
      <w:r w:rsidR="00E16085">
        <w:rPr>
          <w:sz w:val="22"/>
          <w:szCs w:val="22"/>
        </w:rPr>
        <w:t xml:space="preserve">”) </w:t>
      </w:r>
      <w:r w:rsidR="00C31145" w:rsidRPr="004D2041">
        <w:rPr>
          <w:sz w:val="22"/>
          <w:szCs w:val="22"/>
        </w:rPr>
        <w:t xml:space="preserve">where it is alleged that the affairs of a company have been conducted in an oppressive manner.  Under the </w:t>
      </w:r>
      <w:r w:rsidR="00C31145" w:rsidRPr="004D2041">
        <w:rPr>
          <w:i/>
          <w:sz w:val="22"/>
          <w:szCs w:val="22"/>
        </w:rPr>
        <w:t>Supreme Court (Corporations) Rules 2013</w:t>
      </w:r>
      <w:r w:rsidR="00C31145" w:rsidRPr="004D2041">
        <w:rPr>
          <w:sz w:val="22"/>
          <w:szCs w:val="22"/>
        </w:rPr>
        <w:t>, such applications must be commenced by originating process.</w:t>
      </w:r>
      <w:r w:rsidR="00C31145" w:rsidRPr="004D2041">
        <w:rPr>
          <w:rStyle w:val="FootnoteReference"/>
          <w:sz w:val="22"/>
          <w:szCs w:val="22"/>
        </w:rPr>
        <w:footnoteReference w:id="1"/>
      </w:r>
      <w:r w:rsidR="00C31145" w:rsidRPr="004D2041">
        <w:rPr>
          <w:sz w:val="22"/>
          <w:szCs w:val="22"/>
        </w:rPr>
        <w:t xml:space="preserve">  Unless the Court otherwise directs, the originating process must be supported by an affidavit stating the facts in support of the process</w:t>
      </w:r>
      <w:r w:rsidR="00C31145" w:rsidRPr="004D2041">
        <w:rPr>
          <w:rStyle w:val="FootnoteReference"/>
          <w:sz w:val="22"/>
          <w:szCs w:val="22"/>
        </w:rPr>
        <w:footnoteReference w:id="2"/>
      </w:r>
      <w:r w:rsidR="00C31145" w:rsidRPr="004D2041">
        <w:rPr>
          <w:sz w:val="22"/>
          <w:szCs w:val="22"/>
        </w:rPr>
        <w:t xml:space="preserve"> and must annexe an ASIC</w:t>
      </w:r>
      <w:r w:rsidR="00C31145" w:rsidRPr="004D2041">
        <w:rPr>
          <w:rStyle w:val="FootnoteReference"/>
          <w:sz w:val="22"/>
          <w:szCs w:val="22"/>
        </w:rPr>
        <w:footnoteReference w:id="3"/>
      </w:r>
      <w:r w:rsidR="00C31145" w:rsidRPr="004D2041">
        <w:rPr>
          <w:sz w:val="22"/>
          <w:szCs w:val="22"/>
        </w:rPr>
        <w:t xml:space="preserve"> search of the company.</w:t>
      </w:r>
      <w:r w:rsidR="00C31145" w:rsidRPr="004D2041">
        <w:rPr>
          <w:rStyle w:val="FootnoteReference"/>
          <w:sz w:val="22"/>
          <w:szCs w:val="22"/>
        </w:rPr>
        <w:footnoteReference w:id="4"/>
      </w:r>
    </w:p>
    <w:p w:rsidR="00417117" w:rsidRPr="004D2041" w:rsidRDefault="00417117" w:rsidP="00417117">
      <w:pPr>
        <w:spacing w:after="240" w:line="360" w:lineRule="auto"/>
        <w:ind w:left="720" w:hanging="720"/>
        <w:rPr>
          <w:sz w:val="22"/>
          <w:szCs w:val="22"/>
        </w:rPr>
      </w:pPr>
      <w:r w:rsidRPr="004D2041">
        <w:rPr>
          <w:sz w:val="22"/>
          <w:szCs w:val="22"/>
        </w:rPr>
        <w:t>2.</w:t>
      </w:r>
      <w:r w:rsidRPr="004D2041">
        <w:rPr>
          <w:sz w:val="22"/>
          <w:szCs w:val="22"/>
        </w:rPr>
        <w:tab/>
      </w:r>
      <w:r w:rsidR="00D31B13" w:rsidRPr="004D2041">
        <w:rPr>
          <w:sz w:val="22"/>
          <w:szCs w:val="22"/>
        </w:rPr>
        <w:t xml:space="preserve">Almost all of the claims seeking relief under s 233 of the </w:t>
      </w:r>
      <w:r w:rsidR="00D31B13" w:rsidRPr="00E16085">
        <w:rPr>
          <w:sz w:val="22"/>
          <w:szCs w:val="22"/>
        </w:rPr>
        <w:t>Corporations Act</w:t>
      </w:r>
      <w:r w:rsidR="00D31B13" w:rsidRPr="004D2041">
        <w:rPr>
          <w:sz w:val="22"/>
          <w:szCs w:val="22"/>
        </w:rPr>
        <w:t xml:space="preserve"> relate to small business</w:t>
      </w:r>
      <w:r w:rsidR="002E2CA0" w:rsidRPr="004D2041">
        <w:rPr>
          <w:sz w:val="22"/>
          <w:szCs w:val="22"/>
        </w:rPr>
        <w:t>es</w:t>
      </w:r>
      <w:r w:rsidR="00D31B13" w:rsidRPr="004D2041">
        <w:rPr>
          <w:sz w:val="22"/>
          <w:szCs w:val="22"/>
        </w:rPr>
        <w:t xml:space="preserve">, most commonly family businesses.  Frequently, the value of the business is </w:t>
      </w:r>
      <w:r w:rsidR="002E2CA0" w:rsidRPr="004D2041">
        <w:rPr>
          <w:sz w:val="22"/>
          <w:szCs w:val="22"/>
        </w:rPr>
        <w:t>not substantial</w:t>
      </w:r>
      <w:r w:rsidR="00D31B13" w:rsidRPr="004D2041">
        <w:rPr>
          <w:sz w:val="22"/>
          <w:szCs w:val="22"/>
        </w:rPr>
        <w:t xml:space="preserve">.  Nevertheless, applications are often supported by affidavits which run to many pages and considerable detail.  At the first return of the originating process, </w:t>
      </w:r>
      <w:r w:rsidR="002E2CA0" w:rsidRPr="004D2041">
        <w:rPr>
          <w:sz w:val="22"/>
          <w:szCs w:val="22"/>
        </w:rPr>
        <w:t xml:space="preserve">it is common for </w:t>
      </w:r>
      <w:r w:rsidR="00D31B13" w:rsidRPr="004D2041">
        <w:rPr>
          <w:sz w:val="22"/>
          <w:szCs w:val="22"/>
        </w:rPr>
        <w:t xml:space="preserve">orders </w:t>
      </w:r>
      <w:r w:rsidR="002E2CA0" w:rsidRPr="004D2041">
        <w:rPr>
          <w:sz w:val="22"/>
          <w:szCs w:val="22"/>
        </w:rPr>
        <w:t>to be</w:t>
      </w:r>
      <w:r w:rsidR="00D31B13" w:rsidRPr="004D2041">
        <w:rPr>
          <w:sz w:val="22"/>
          <w:szCs w:val="22"/>
        </w:rPr>
        <w:t xml:space="preserve"> made for inspection and copying of the books of the company, for valuation of the shares in the company and for mediation.</w:t>
      </w:r>
      <w:r w:rsidR="00D31B13" w:rsidRPr="004D2041">
        <w:rPr>
          <w:rStyle w:val="FootnoteReference"/>
          <w:sz w:val="22"/>
          <w:szCs w:val="22"/>
        </w:rPr>
        <w:footnoteReference w:id="5"/>
      </w:r>
      <w:r w:rsidR="00D31B13" w:rsidRPr="004D2041">
        <w:rPr>
          <w:sz w:val="22"/>
          <w:szCs w:val="22"/>
        </w:rPr>
        <w:t xml:space="preserve">  </w:t>
      </w:r>
    </w:p>
    <w:p w:rsidR="00417117" w:rsidRDefault="00417117" w:rsidP="00417117">
      <w:pPr>
        <w:spacing w:after="240" w:line="360" w:lineRule="auto"/>
        <w:ind w:left="720" w:hanging="720"/>
        <w:rPr>
          <w:sz w:val="22"/>
          <w:szCs w:val="22"/>
        </w:rPr>
      </w:pPr>
      <w:r w:rsidRPr="004D2041">
        <w:rPr>
          <w:sz w:val="22"/>
          <w:szCs w:val="22"/>
        </w:rPr>
        <w:t>3.</w:t>
      </w:r>
      <w:r w:rsidRPr="004D2041">
        <w:rPr>
          <w:sz w:val="22"/>
          <w:szCs w:val="22"/>
        </w:rPr>
        <w:tab/>
      </w:r>
      <w:r w:rsidR="00960D33">
        <w:rPr>
          <w:sz w:val="22"/>
          <w:szCs w:val="22"/>
        </w:rPr>
        <w:t>On 1 October 2014, t</w:t>
      </w:r>
      <w:r w:rsidR="00960D33" w:rsidRPr="004D2041">
        <w:rPr>
          <w:sz w:val="22"/>
          <w:szCs w:val="22"/>
        </w:rPr>
        <w:t xml:space="preserve">he </w:t>
      </w:r>
      <w:r w:rsidR="002E2CA0" w:rsidRPr="004D2041">
        <w:rPr>
          <w:sz w:val="22"/>
          <w:szCs w:val="22"/>
        </w:rPr>
        <w:t xml:space="preserve">Court </w:t>
      </w:r>
      <w:r w:rsidR="00960D33">
        <w:rPr>
          <w:sz w:val="22"/>
          <w:szCs w:val="22"/>
        </w:rPr>
        <w:t>commenced</w:t>
      </w:r>
      <w:r w:rsidR="002E2CA0" w:rsidRPr="004D2041">
        <w:rPr>
          <w:sz w:val="22"/>
          <w:szCs w:val="22"/>
        </w:rPr>
        <w:t xml:space="preserve"> operat</w:t>
      </w:r>
      <w:r w:rsidR="00960D33">
        <w:rPr>
          <w:sz w:val="22"/>
          <w:szCs w:val="22"/>
        </w:rPr>
        <w:t>ing</w:t>
      </w:r>
      <w:r w:rsidR="002E2CA0" w:rsidRPr="004D2041">
        <w:rPr>
          <w:sz w:val="22"/>
          <w:szCs w:val="22"/>
        </w:rPr>
        <w:t xml:space="preserve"> a 6 month pilot programme in respect of oppression applications</w:t>
      </w:r>
      <w:r w:rsidR="007E07C9">
        <w:rPr>
          <w:sz w:val="22"/>
          <w:szCs w:val="22"/>
        </w:rPr>
        <w:t xml:space="preserve"> (“</w:t>
      </w:r>
      <w:r w:rsidR="007E07C9" w:rsidRPr="00232227">
        <w:rPr>
          <w:b/>
          <w:sz w:val="22"/>
          <w:szCs w:val="22"/>
        </w:rPr>
        <w:t>the Pilot</w:t>
      </w:r>
      <w:r w:rsidR="007E07C9">
        <w:rPr>
          <w:sz w:val="22"/>
          <w:szCs w:val="22"/>
        </w:rPr>
        <w:t>”)</w:t>
      </w:r>
      <w:r w:rsidR="002E2CA0" w:rsidRPr="004D2041">
        <w:rPr>
          <w:sz w:val="22"/>
          <w:szCs w:val="22"/>
        </w:rPr>
        <w:t xml:space="preserve">.  The Court </w:t>
      </w:r>
      <w:r w:rsidR="00960D33" w:rsidRPr="004D2041">
        <w:rPr>
          <w:sz w:val="22"/>
          <w:szCs w:val="22"/>
        </w:rPr>
        <w:t>embark</w:t>
      </w:r>
      <w:r w:rsidR="00960D33">
        <w:rPr>
          <w:sz w:val="22"/>
          <w:szCs w:val="22"/>
        </w:rPr>
        <w:t>ed</w:t>
      </w:r>
      <w:r w:rsidR="00960D33" w:rsidRPr="004D2041">
        <w:rPr>
          <w:sz w:val="22"/>
          <w:szCs w:val="22"/>
        </w:rPr>
        <w:t xml:space="preserve"> </w:t>
      </w:r>
      <w:r w:rsidR="002E2CA0" w:rsidRPr="004D2041">
        <w:rPr>
          <w:sz w:val="22"/>
          <w:szCs w:val="22"/>
        </w:rPr>
        <w:t>on this course w</w:t>
      </w:r>
      <w:r w:rsidR="00D31B13" w:rsidRPr="004D2041">
        <w:rPr>
          <w:sz w:val="22"/>
          <w:szCs w:val="22"/>
        </w:rPr>
        <w:t>ith a view to facilitating the just, efficient, timely and cost</w:t>
      </w:r>
      <w:r w:rsidR="00D31B13" w:rsidRPr="004D2041">
        <w:rPr>
          <w:sz w:val="22"/>
          <w:szCs w:val="22"/>
        </w:rPr>
        <w:noBreakHyphen/>
        <w:t xml:space="preserve">effective resolution of the real issues in dispute in applications under s 233 of the </w:t>
      </w:r>
      <w:r w:rsidR="00D31B13" w:rsidRPr="00E16085">
        <w:rPr>
          <w:sz w:val="22"/>
          <w:szCs w:val="22"/>
        </w:rPr>
        <w:t>Corporations Act</w:t>
      </w:r>
      <w:r w:rsidR="002E2CA0" w:rsidRPr="004D2041">
        <w:rPr>
          <w:sz w:val="22"/>
          <w:szCs w:val="22"/>
        </w:rPr>
        <w:t xml:space="preserve">.  In </w:t>
      </w:r>
      <w:r w:rsidR="002E2CA0" w:rsidRPr="004D2041">
        <w:rPr>
          <w:sz w:val="22"/>
          <w:szCs w:val="22"/>
        </w:rPr>
        <w:lastRenderedPageBreak/>
        <w:t>particular</w:t>
      </w:r>
      <w:r w:rsidR="00D31B13" w:rsidRPr="004D2041">
        <w:rPr>
          <w:sz w:val="22"/>
          <w:szCs w:val="22"/>
        </w:rPr>
        <w:t xml:space="preserve">, </w:t>
      </w:r>
      <w:r w:rsidR="002E2CA0" w:rsidRPr="004D2041">
        <w:rPr>
          <w:sz w:val="22"/>
          <w:szCs w:val="22"/>
        </w:rPr>
        <w:t xml:space="preserve">the </w:t>
      </w:r>
      <w:r w:rsidR="007E07C9">
        <w:rPr>
          <w:sz w:val="22"/>
          <w:szCs w:val="22"/>
        </w:rPr>
        <w:t>P</w:t>
      </w:r>
      <w:r w:rsidR="002E2CA0" w:rsidRPr="004D2041">
        <w:rPr>
          <w:sz w:val="22"/>
          <w:szCs w:val="22"/>
        </w:rPr>
        <w:t xml:space="preserve">ilot </w:t>
      </w:r>
      <w:r w:rsidR="00960D33">
        <w:rPr>
          <w:sz w:val="22"/>
          <w:szCs w:val="22"/>
        </w:rPr>
        <w:t>sought to</w:t>
      </w:r>
      <w:r w:rsidR="00960D33" w:rsidRPr="004D2041">
        <w:rPr>
          <w:sz w:val="22"/>
          <w:szCs w:val="22"/>
        </w:rPr>
        <w:t xml:space="preserve"> </w:t>
      </w:r>
      <w:r w:rsidR="002E2CA0" w:rsidRPr="004D2041">
        <w:rPr>
          <w:sz w:val="22"/>
          <w:szCs w:val="22"/>
        </w:rPr>
        <w:t>trial initiatives aimed at exploring resolution of the dispute at a very early stage of the proceeding</w:t>
      </w:r>
      <w:r w:rsidR="006F70F2" w:rsidRPr="004D2041">
        <w:rPr>
          <w:sz w:val="22"/>
          <w:szCs w:val="22"/>
        </w:rPr>
        <w:t xml:space="preserve"> before significant costs </w:t>
      </w:r>
      <w:r w:rsidR="001111F5" w:rsidRPr="004D2041">
        <w:rPr>
          <w:sz w:val="22"/>
          <w:szCs w:val="22"/>
        </w:rPr>
        <w:t>ha</w:t>
      </w:r>
      <w:r w:rsidR="001111F5">
        <w:rPr>
          <w:sz w:val="22"/>
          <w:szCs w:val="22"/>
        </w:rPr>
        <w:t>d</w:t>
      </w:r>
      <w:r w:rsidR="001111F5" w:rsidRPr="004D2041">
        <w:rPr>
          <w:sz w:val="22"/>
          <w:szCs w:val="22"/>
        </w:rPr>
        <w:t xml:space="preserve"> </w:t>
      </w:r>
      <w:r w:rsidR="006F70F2" w:rsidRPr="004D2041">
        <w:rPr>
          <w:sz w:val="22"/>
          <w:szCs w:val="22"/>
        </w:rPr>
        <w:t>been incurred</w:t>
      </w:r>
      <w:r w:rsidR="002E2CA0" w:rsidRPr="004D2041">
        <w:rPr>
          <w:sz w:val="22"/>
          <w:szCs w:val="22"/>
        </w:rPr>
        <w:t>.</w:t>
      </w:r>
    </w:p>
    <w:p w:rsidR="00960D33" w:rsidRDefault="00960D33" w:rsidP="00232227">
      <w:pPr>
        <w:spacing w:line="36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 xml:space="preserve">Practice Note </w:t>
      </w:r>
      <w:r w:rsidR="00E16085">
        <w:rPr>
          <w:sz w:val="22"/>
          <w:szCs w:val="22"/>
        </w:rPr>
        <w:t xml:space="preserve">No. </w:t>
      </w:r>
      <w:r>
        <w:rPr>
          <w:sz w:val="22"/>
          <w:szCs w:val="22"/>
        </w:rPr>
        <w:t>5 of 2014 titled “</w:t>
      </w:r>
      <w:r w:rsidRPr="00232227">
        <w:rPr>
          <w:sz w:val="22"/>
          <w:szCs w:val="22"/>
        </w:rPr>
        <w:t xml:space="preserve">Applications under s 233 </w:t>
      </w:r>
      <w:r w:rsidRPr="00232227">
        <w:rPr>
          <w:i/>
          <w:sz w:val="22"/>
          <w:szCs w:val="22"/>
        </w:rPr>
        <w:t>Corporations Act 2001</w:t>
      </w:r>
      <w:r w:rsidRPr="00232227">
        <w:rPr>
          <w:sz w:val="22"/>
          <w:szCs w:val="22"/>
        </w:rPr>
        <w:t>– oppressive conduct of the affairs of a company</w:t>
      </w:r>
      <w:r>
        <w:rPr>
          <w:sz w:val="22"/>
          <w:szCs w:val="22"/>
        </w:rPr>
        <w:t xml:space="preserve">” </w:t>
      </w:r>
      <w:r w:rsidR="00EE0FF6">
        <w:rPr>
          <w:sz w:val="22"/>
          <w:szCs w:val="22"/>
        </w:rPr>
        <w:t xml:space="preserve">established the Pilot by </w:t>
      </w:r>
      <w:r>
        <w:rPr>
          <w:sz w:val="22"/>
          <w:szCs w:val="22"/>
        </w:rPr>
        <w:t>set</w:t>
      </w:r>
      <w:r w:rsidR="00EE0FF6">
        <w:rPr>
          <w:sz w:val="22"/>
          <w:szCs w:val="22"/>
        </w:rPr>
        <w:t>ting</w:t>
      </w:r>
      <w:r>
        <w:rPr>
          <w:sz w:val="22"/>
          <w:szCs w:val="22"/>
        </w:rPr>
        <w:t xml:space="preserve"> out </w:t>
      </w:r>
      <w:r w:rsidR="004A3F95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4A3F95">
        <w:rPr>
          <w:sz w:val="22"/>
          <w:szCs w:val="22"/>
        </w:rPr>
        <w:t>streamlined</w:t>
      </w:r>
      <w:r>
        <w:rPr>
          <w:sz w:val="22"/>
          <w:szCs w:val="22"/>
        </w:rPr>
        <w:t xml:space="preserve"> procedure for the case management of oppression proceedings in the Court.  </w:t>
      </w:r>
      <w:r w:rsidR="004A3F95">
        <w:rPr>
          <w:sz w:val="22"/>
          <w:szCs w:val="22"/>
        </w:rPr>
        <w:t>D</w:t>
      </w:r>
      <w:r>
        <w:rPr>
          <w:sz w:val="22"/>
          <w:szCs w:val="22"/>
        </w:rPr>
        <w:t>uring the</w:t>
      </w:r>
      <w:r w:rsidR="004A3F95">
        <w:rPr>
          <w:sz w:val="22"/>
          <w:szCs w:val="22"/>
        </w:rPr>
        <w:t xml:space="preserve"> life</w:t>
      </w:r>
      <w:r>
        <w:rPr>
          <w:sz w:val="22"/>
          <w:szCs w:val="22"/>
        </w:rPr>
        <w:t xml:space="preserve"> of the </w:t>
      </w:r>
      <w:r w:rsidR="007E07C9">
        <w:rPr>
          <w:sz w:val="22"/>
          <w:szCs w:val="22"/>
        </w:rPr>
        <w:t>P</w:t>
      </w:r>
      <w:r w:rsidR="004A3F95">
        <w:rPr>
          <w:sz w:val="22"/>
          <w:szCs w:val="22"/>
        </w:rPr>
        <w:t xml:space="preserve">ilot, a significant number of matters were commenced and subject to the new process.  The </w:t>
      </w:r>
      <w:r w:rsidR="007E07C9">
        <w:rPr>
          <w:sz w:val="22"/>
          <w:szCs w:val="22"/>
        </w:rPr>
        <w:t>P</w:t>
      </w:r>
      <w:r w:rsidR="004A3F95">
        <w:rPr>
          <w:sz w:val="22"/>
          <w:szCs w:val="22"/>
        </w:rPr>
        <w:t>ilot resulted in the early resolution of a number of those matters or</w:t>
      </w:r>
      <w:r w:rsidR="004F44CA">
        <w:rPr>
          <w:sz w:val="22"/>
          <w:szCs w:val="22"/>
        </w:rPr>
        <w:t>, where early resolution was not practicable,</w:t>
      </w:r>
      <w:r w:rsidR="004A3F95">
        <w:rPr>
          <w:sz w:val="22"/>
          <w:szCs w:val="22"/>
        </w:rPr>
        <w:t xml:space="preserve"> </w:t>
      </w:r>
      <w:r w:rsidR="009B7AEA">
        <w:rPr>
          <w:sz w:val="22"/>
          <w:szCs w:val="22"/>
        </w:rPr>
        <w:t xml:space="preserve">a significant </w:t>
      </w:r>
      <w:r w:rsidR="004A3F95">
        <w:rPr>
          <w:sz w:val="22"/>
          <w:szCs w:val="22"/>
        </w:rPr>
        <w:t>narrowing of the issues in dispute.</w:t>
      </w:r>
      <w:r w:rsidR="00AC0830">
        <w:rPr>
          <w:sz w:val="22"/>
          <w:szCs w:val="22"/>
        </w:rPr>
        <w:t xml:space="preserve">  </w:t>
      </w:r>
    </w:p>
    <w:p w:rsidR="004A3F95" w:rsidRDefault="004A3F95" w:rsidP="00232227">
      <w:pPr>
        <w:spacing w:line="360" w:lineRule="auto"/>
        <w:ind w:left="720" w:hanging="720"/>
        <w:rPr>
          <w:sz w:val="22"/>
          <w:szCs w:val="22"/>
        </w:rPr>
      </w:pPr>
    </w:p>
    <w:p w:rsidR="004A3F95" w:rsidRDefault="004A3F95" w:rsidP="001111F5">
      <w:pPr>
        <w:spacing w:line="36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5.  </w:t>
      </w:r>
      <w:r>
        <w:rPr>
          <w:sz w:val="22"/>
          <w:szCs w:val="22"/>
        </w:rPr>
        <w:tab/>
      </w:r>
      <w:r w:rsidR="00AC0830">
        <w:rPr>
          <w:sz w:val="22"/>
          <w:szCs w:val="22"/>
        </w:rPr>
        <w:t xml:space="preserve">The </w:t>
      </w:r>
      <w:r w:rsidR="007E07C9">
        <w:rPr>
          <w:sz w:val="22"/>
          <w:szCs w:val="22"/>
        </w:rPr>
        <w:t>P</w:t>
      </w:r>
      <w:r w:rsidR="00AC0830">
        <w:rPr>
          <w:sz w:val="22"/>
          <w:szCs w:val="22"/>
        </w:rPr>
        <w:t>ilot ceased to operate on 1 April 201</w:t>
      </w:r>
      <w:r w:rsidR="00137CB6">
        <w:rPr>
          <w:sz w:val="22"/>
          <w:szCs w:val="22"/>
        </w:rPr>
        <w:t>5</w:t>
      </w:r>
      <w:r w:rsidR="001111F5">
        <w:rPr>
          <w:sz w:val="22"/>
          <w:szCs w:val="22"/>
        </w:rPr>
        <w:t>. F</w:t>
      </w:r>
      <w:r>
        <w:rPr>
          <w:sz w:val="22"/>
          <w:szCs w:val="22"/>
        </w:rPr>
        <w:t xml:space="preserve">ollowing the </w:t>
      </w:r>
      <w:r w:rsidR="00671E98">
        <w:rPr>
          <w:sz w:val="22"/>
          <w:szCs w:val="22"/>
        </w:rPr>
        <w:t xml:space="preserve">initial </w:t>
      </w:r>
      <w:r>
        <w:rPr>
          <w:sz w:val="22"/>
          <w:szCs w:val="22"/>
        </w:rPr>
        <w:t xml:space="preserve">results of the </w:t>
      </w:r>
      <w:r w:rsidR="00137CB6">
        <w:rPr>
          <w:sz w:val="22"/>
          <w:szCs w:val="22"/>
        </w:rPr>
        <w:t>P</w:t>
      </w:r>
      <w:r>
        <w:rPr>
          <w:sz w:val="22"/>
          <w:szCs w:val="22"/>
        </w:rPr>
        <w:t xml:space="preserve">ilot, the Court </w:t>
      </w:r>
      <w:r w:rsidR="00AC0830">
        <w:rPr>
          <w:sz w:val="22"/>
          <w:szCs w:val="22"/>
        </w:rPr>
        <w:t xml:space="preserve">has </w:t>
      </w:r>
      <w:r>
        <w:rPr>
          <w:sz w:val="22"/>
          <w:szCs w:val="22"/>
        </w:rPr>
        <w:t xml:space="preserve">resolved to extend </w:t>
      </w:r>
      <w:r w:rsidR="007305D5">
        <w:rPr>
          <w:sz w:val="22"/>
          <w:szCs w:val="22"/>
        </w:rPr>
        <w:t xml:space="preserve">its </w:t>
      </w:r>
      <w:r>
        <w:rPr>
          <w:sz w:val="22"/>
          <w:szCs w:val="22"/>
        </w:rPr>
        <w:t xml:space="preserve">operation until </w:t>
      </w:r>
      <w:r w:rsidR="00E449F5">
        <w:rPr>
          <w:sz w:val="22"/>
          <w:szCs w:val="22"/>
        </w:rPr>
        <w:t xml:space="preserve">1 August </w:t>
      </w:r>
      <w:r w:rsidR="00137CB6">
        <w:rPr>
          <w:sz w:val="22"/>
          <w:szCs w:val="22"/>
        </w:rPr>
        <w:t>2016</w:t>
      </w:r>
      <w:r w:rsidR="00AC0830">
        <w:rPr>
          <w:sz w:val="22"/>
          <w:szCs w:val="22"/>
        </w:rPr>
        <w:t xml:space="preserve">.  However, in order to improve the efficiency of the </w:t>
      </w:r>
      <w:r w:rsidR="00A61752">
        <w:rPr>
          <w:sz w:val="22"/>
          <w:szCs w:val="22"/>
        </w:rPr>
        <w:t>P</w:t>
      </w:r>
      <w:r w:rsidR="00AC0830">
        <w:rPr>
          <w:sz w:val="22"/>
          <w:szCs w:val="22"/>
        </w:rPr>
        <w:t xml:space="preserve">ilot, a number of </w:t>
      </w:r>
      <w:r w:rsidR="007305D5">
        <w:rPr>
          <w:sz w:val="22"/>
          <w:szCs w:val="22"/>
        </w:rPr>
        <w:t xml:space="preserve">important </w:t>
      </w:r>
      <w:r w:rsidR="00AC0830">
        <w:rPr>
          <w:sz w:val="22"/>
          <w:szCs w:val="22"/>
        </w:rPr>
        <w:t>changes have been made.</w:t>
      </w:r>
      <w:r w:rsidR="007305D5">
        <w:rPr>
          <w:sz w:val="22"/>
          <w:szCs w:val="22"/>
        </w:rPr>
        <w:t xml:space="preserve">  The revised procedures for the </w:t>
      </w:r>
      <w:r w:rsidR="00137CB6">
        <w:rPr>
          <w:sz w:val="22"/>
          <w:szCs w:val="22"/>
        </w:rPr>
        <w:t>P</w:t>
      </w:r>
      <w:r w:rsidR="007305D5">
        <w:rPr>
          <w:sz w:val="22"/>
          <w:szCs w:val="22"/>
        </w:rPr>
        <w:t>ilot are set out below.</w:t>
      </w:r>
    </w:p>
    <w:p w:rsidR="00232227" w:rsidRPr="004D2041" w:rsidRDefault="00232227" w:rsidP="001111F5">
      <w:pPr>
        <w:spacing w:line="360" w:lineRule="auto"/>
        <w:ind w:left="720" w:hanging="720"/>
        <w:rPr>
          <w:b/>
          <w:sz w:val="28"/>
          <w:szCs w:val="28"/>
        </w:rPr>
      </w:pPr>
    </w:p>
    <w:p w:rsidR="00D31B13" w:rsidRPr="004D2041" w:rsidRDefault="00137CB6" w:rsidP="00417117">
      <w:pPr>
        <w:spacing w:after="240" w:line="36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>6</w:t>
      </w:r>
      <w:r w:rsidR="00417117" w:rsidRPr="004D2041">
        <w:rPr>
          <w:sz w:val="22"/>
          <w:szCs w:val="22"/>
        </w:rPr>
        <w:t>.</w:t>
      </w:r>
      <w:r w:rsidR="00417117" w:rsidRPr="004D2041">
        <w:rPr>
          <w:sz w:val="22"/>
          <w:szCs w:val="22"/>
        </w:rPr>
        <w:tab/>
      </w:r>
      <w:r w:rsidR="002E2CA0" w:rsidRPr="004D2041">
        <w:rPr>
          <w:sz w:val="22"/>
          <w:szCs w:val="22"/>
        </w:rPr>
        <w:t>From</w:t>
      </w:r>
      <w:r w:rsidR="00417117" w:rsidRPr="004D2041">
        <w:rPr>
          <w:sz w:val="22"/>
          <w:szCs w:val="22"/>
        </w:rPr>
        <w:t xml:space="preserve"> </w:t>
      </w:r>
      <w:r w:rsidR="00417117" w:rsidRPr="001921E5">
        <w:rPr>
          <w:b/>
          <w:sz w:val="22"/>
          <w:szCs w:val="22"/>
        </w:rPr>
        <w:t>1 </w:t>
      </w:r>
      <w:r w:rsidR="001921E5" w:rsidRPr="001921E5">
        <w:rPr>
          <w:b/>
          <w:sz w:val="22"/>
          <w:szCs w:val="22"/>
        </w:rPr>
        <w:t>September</w:t>
      </w:r>
      <w:r w:rsidRPr="001921E5">
        <w:rPr>
          <w:b/>
          <w:sz w:val="22"/>
          <w:szCs w:val="22"/>
        </w:rPr>
        <w:t xml:space="preserve"> 2015</w:t>
      </w:r>
      <w:r w:rsidR="002E2CA0" w:rsidRPr="001921E5">
        <w:rPr>
          <w:b/>
          <w:sz w:val="22"/>
          <w:szCs w:val="22"/>
        </w:rPr>
        <w:t xml:space="preserve"> </w:t>
      </w:r>
      <w:r w:rsidRPr="001921E5">
        <w:rPr>
          <w:b/>
          <w:sz w:val="22"/>
          <w:szCs w:val="22"/>
        </w:rPr>
        <w:t xml:space="preserve">until 1 </w:t>
      </w:r>
      <w:r w:rsidR="001921E5" w:rsidRPr="001921E5">
        <w:rPr>
          <w:b/>
          <w:sz w:val="22"/>
          <w:szCs w:val="22"/>
        </w:rPr>
        <w:t>August</w:t>
      </w:r>
      <w:r w:rsidRPr="001921E5">
        <w:rPr>
          <w:b/>
          <w:sz w:val="22"/>
          <w:szCs w:val="22"/>
        </w:rPr>
        <w:t xml:space="preserve"> 2016</w:t>
      </w:r>
      <w:r>
        <w:rPr>
          <w:sz w:val="22"/>
          <w:szCs w:val="22"/>
        </w:rPr>
        <w:t xml:space="preserve"> </w:t>
      </w:r>
      <w:r w:rsidR="002E2CA0" w:rsidRPr="004D2041">
        <w:rPr>
          <w:sz w:val="22"/>
          <w:szCs w:val="22"/>
        </w:rPr>
        <w:t xml:space="preserve">and </w:t>
      </w:r>
      <w:r w:rsidR="00D31B13" w:rsidRPr="004D2041">
        <w:rPr>
          <w:sz w:val="22"/>
          <w:szCs w:val="22"/>
        </w:rPr>
        <w:t>subject to any contrary order of the Court, the following procedure will apply</w:t>
      </w:r>
      <w:r w:rsidR="002E2CA0" w:rsidRPr="004D2041">
        <w:rPr>
          <w:sz w:val="22"/>
          <w:szCs w:val="22"/>
        </w:rPr>
        <w:t xml:space="preserve"> in respect of applications under s 233 of the </w:t>
      </w:r>
      <w:r w:rsidR="002E2CA0" w:rsidRPr="00E16085">
        <w:rPr>
          <w:sz w:val="22"/>
          <w:szCs w:val="22"/>
        </w:rPr>
        <w:t>Corporations Act</w:t>
      </w:r>
      <w:r w:rsidR="00417117" w:rsidRPr="004D2041">
        <w:rPr>
          <w:i/>
          <w:sz w:val="22"/>
          <w:szCs w:val="22"/>
        </w:rPr>
        <w:t xml:space="preserve"> </w:t>
      </w:r>
      <w:r w:rsidR="00417117" w:rsidRPr="004D2041">
        <w:rPr>
          <w:sz w:val="22"/>
          <w:szCs w:val="22"/>
        </w:rPr>
        <w:t>(whether or not other relief is also sought)</w:t>
      </w:r>
      <w:r w:rsidR="00D31B13" w:rsidRPr="004D2041">
        <w:rPr>
          <w:sz w:val="22"/>
          <w:szCs w:val="22"/>
        </w:rPr>
        <w:t>:</w:t>
      </w:r>
    </w:p>
    <w:p w:rsidR="002E2CA0" w:rsidRPr="004D2041" w:rsidRDefault="00417117" w:rsidP="00417117">
      <w:pPr>
        <w:spacing w:after="240" w:line="360" w:lineRule="auto"/>
        <w:ind w:left="1440" w:hanging="720"/>
        <w:rPr>
          <w:sz w:val="22"/>
          <w:szCs w:val="22"/>
        </w:rPr>
      </w:pPr>
      <w:r w:rsidRPr="004D2041">
        <w:rPr>
          <w:sz w:val="22"/>
          <w:szCs w:val="22"/>
        </w:rPr>
        <w:t>(a)</w:t>
      </w:r>
      <w:r w:rsidRPr="004D2041">
        <w:rPr>
          <w:sz w:val="22"/>
          <w:szCs w:val="22"/>
        </w:rPr>
        <w:tab/>
      </w:r>
      <w:r w:rsidR="00D31B13" w:rsidRPr="004D2041">
        <w:rPr>
          <w:sz w:val="22"/>
          <w:szCs w:val="22"/>
        </w:rPr>
        <w:t xml:space="preserve">Applications for relief are to be made by originating process </w:t>
      </w:r>
      <w:r w:rsidR="008165A8">
        <w:rPr>
          <w:sz w:val="22"/>
          <w:szCs w:val="22"/>
        </w:rPr>
        <w:t>filed via RedCrest</w:t>
      </w:r>
      <w:r w:rsidR="008165A8">
        <w:rPr>
          <w:rStyle w:val="FootnoteReference"/>
          <w:sz w:val="22"/>
          <w:szCs w:val="22"/>
        </w:rPr>
        <w:footnoteReference w:id="6"/>
      </w:r>
      <w:r w:rsidR="008165A8">
        <w:rPr>
          <w:sz w:val="22"/>
          <w:szCs w:val="22"/>
        </w:rPr>
        <w:t xml:space="preserve"> </w:t>
      </w:r>
      <w:r w:rsidR="00A064B8">
        <w:rPr>
          <w:sz w:val="22"/>
          <w:szCs w:val="22"/>
        </w:rPr>
        <w:t xml:space="preserve">and </w:t>
      </w:r>
      <w:r w:rsidR="00D31B13" w:rsidRPr="004D2041">
        <w:rPr>
          <w:sz w:val="22"/>
          <w:szCs w:val="22"/>
        </w:rPr>
        <w:t>supported by an affidavit which</w:t>
      </w:r>
      <w:r w:rsidR="002E2CA0" w:rsidRPr="004D2041">
        <w:rPr>
          <w:sz w:val="22"/>
          <w:szCs w:val="22"/>
        </w:rPr>
        <w:t>:</w:t>
      </w:r>
    </w:p>
    <w:p w:rsidR="00AF4E7A" w:rsidRPr="004D2041" w:rsidRDefault="00AF4E7A" w:rsidP="00417117">
      <w:pPr>
        <w:spacing w:after="240" w:line="360" w:lineRule="auto"/>
        <w:ind w:left="1440"/>
        <w:rPr>
          <w:sz w:val="22"/>
          <w:szCs w:val="22"/>
        </w:rPr>
      </w:pPr>
      <w:r w:rsidRPr="004D2041">
        <w:rPr>
          <w:sz w:val="22"/>
          <w:szCs w:val="22"/>
        </w:rPr>
        <w:t>(</w:t>
      </w:r>
      <w:r w:rsidR="00417117" w:rsidRPr="004D2041">
        <w:rPr>
          <w:sz w:val="22"/>
          <w:szCs w:val="22"/>
        </w:rPr>
        <w:t>i</w:t>
      </w:r>
      <w:r w:rsidRPr="004D2041">
        <w:rPr>
          <w:sz w:val="22"/>
          <w:szCs w:val="22"/>
        </w:rPr>
        <w:t>)</w:t>
      </w:r>
      <w:r w:rsidRPr="004D2041">
        <w:rPr>
          <w:sz w:val="22"/>
          <w:szCs w:val="22"/>
        </w:rPr>
        <w:tab/>
      </w:r>
      <w:r w:rsidR="00D31B13" w:rsidRPr="004D2041">
        <w:rPr>
          <w:sz w:val="22"/>
          <w:szCs w:val="22"/>
        </w:rPr>
        <w:t xml:space="preserve">is no more than </w:t>
      </w:r>
      <w:r w:rsidR="00863307" w:rsidRPr="004D2041">
        <w:rPr>
          <w:sz w:val="22"/>
          <w:szCs w:val="22"/>
        </w:rPr>
        <w:t>three</w:t>
      </w:r>
      <w:r w:rsidR="00D31B13" w:rsidRPr="004D2041">
        <w:rPr>
          <w:sz w:val="22"/>
          <w:szCs w:val="22"/>
        </w:rPr>
        <w:t xml:space="preserve"> pages </w:t>
      </w:r>
      <w:r w:rsidR="002E2CA0" w:rsidRPr="004D2041">
        <w:rPr>
          <w:sz w:val="22"/>
          <w:szCs w:val="22"/>
        </w:rPr>
        <w:t>in length</w:t>
      </w:r>
      <w:r w:rsidRPr="004D2041">
        <w:rPr>
          <w:sz w:val="22"/>
          <w:szCs w:val="22"/>
        </w:rPr>
        <w:t>;</w:t>
      </w:r>
    </w:p>
    <w:p w:rsidR="00AF4E7A" w:rsidRPr="004D2041" w:rsidRDefault="00417117" w:rsidP="00417117">
      <w:pPr>
        <w:spacing w:after="240" w:line="360" w:lineRule="auto"/>
        <w:ind w:left="2160" w:hanging="720"/>
        <w:rPr>
          <w:sz w:val="22"/>
          <w:szCs w:val="22"/>
        </w:rPr>
      </w:pPr>
      <w:r w:rsidRPr="004D2041">
        <w:rPr>
          <w:sz w:val="22"/>
          <w:szCs w:val="22"/>
        </w:rPr>
        <w:t>(ii</w:t>
      </w:r>
      <w:r w:rsidR="00AF4E7A" w:rsidRPr="004D2041">
        <w:rPr>
          <w:sz w:val="22"/>
          <w:szCs w:val="22"/>
        </w:rPr>
        <w:t>)</w:t>
      </w:r>
      <w:r w:rsidR="00AF4E7A" w:rsidRPr="004D2041">
        <w:rPr>
          <w:sz w:val="22"/>
          <w:szCs w:val="22"/>
        </w:rPr>
        <w:tab/>
      </w:r>
      <w:r w:rsidR="00D31B13" w:rsidRPr="004D2041">
        <w:rPr>
          <w:sz w:val="22"/>
          <w:szCs w:val="22"/>
        </w:rPr>
        <w:t xml:space="preserve">sets out a </w:t>
      </w:r>
      <w:r w:rsidR="00B5101C" w:rsidRPr="004D2041">
        <w:rPr>
          <w:sz w:val="22"/>
          <w:szCs w:val="22"/>
        </w:rPr>
        <w:t xml:space="preserve">clear and succinct </w:t>
      </w:r>
      <w:r w:rsidR="00D31B13" w:rsidRPr="004D2041">
        <w:rPr>
          <w:sz w:val="22"/>
          <w:szCs w:val="22"/>
        </w:rPr>
        <w:t xml:space="preserve">summary of the facts alleged to constitute the </w:t>
      </w:r>
      <w:r w:rsidR="002E2CA0" w:rsidRPr="004D2041">
        <w:rPr>
          <w:sz w:val="22"/>
          <w:szCs w:val="22"/>
        </w:rPr>
        <w:t xml:space="preserve">acts of </w:t>
      </w:r>
      <w:r w:rsidR="00D31B13" w:rsidRPr="004D2041">
        <w:rPr>
          <w:sz w:val="22"/>
          <w:szCs w:val="22"/>
        </w:rPr>
        <w:t>oppression</w:t>
      </w:r>
      <w:r w:rsidR="00AF4E7A" w:rsidRPr="004D2041">
        <w:rPr>
          <w:sz w:val="22"/>
          <w:szCs w:val="22"/>
        </w:rPr>
        <w:t>;</w:t>
      </w:r>
    </w:p>
    <w:p w:rsidR="00296E52" w:rsidRDefault="00417117" w:rsidP="00232227">
      <w:pPr>
        <w:spacing w:after="240" w:line="360" w:lineRule="auto"/>
        <w:ind w:left="2160" w:hanging="720"/>
        <w:rPr>
          <w:sz w:val="22"/>
          <w:szCs w:val="22"/>
        </w:rPr>
      </w:pPr>
      <w:r w:rsidRPr="004D2041">
        <w:rPr>
          <w:sz w:val="22"/>
          <w:szCs w:val="22"/>
        </w:rPr>
        <w:t>(iii</w:t>
      </w:r>
      <w:r w:rsidR="00AF4E7A" w:rsidRPr="004D2041">
        <w:rPr>
          <w:sz w:val="22"/>
          <w:szCs w:val="22"/>
        </w:rPr>
        <w:t>)</w:t>
      </w:r>
      <w:r w:rsidR="00AF4E7A" w:rsidRPr="004D2041">
        <w:rPr>
          <w:sz w:val="22"/>
          <w:szCs w:val="22"/>
        </w:rPr>
        <w:tab/>
      </w:r>
      <w:r w:rsidR="00296E52">
        <w:rPr>
          <w:sz w:val="22"/>
          <w:szCs w:val="22"/>
        </w:rPr>
        <w:t>sets out a preliminary estimate of the value of the shares in the company (where practicable);</w:t>
      </w:r>
    </w:p>
    <w:p w:rsidR="007B2235" w:rsidRPr="004D2041" w:rsidRDefault="00296E52" w:rsidP="00417117">
      <w:pPr>
        <w:spacing w:after="240" w:line="360" w:lineRule="auto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(iv) </w:t>
      </w:r>
      <w:r>
        <w:rPr>
          <w:sz w:val="22"/>
          <w:szCs w:val="22"/>
        </w:rPr>
        <w:tab/>
      </w:r>
      <w:r w:rsidR="00D31B13" w:rsidRPr="004D2041">
        <w:rPr>
          <w:sz w:val="22"/>
          <w:szCs w:val="22"/>
        </w:rPr>
        <w:t>exhibits a current ASIC search of the company</w:t>
      </w:r>
      <w:r w:rsidR="007B2235" w:rsidRPr="004D2041">
        <w:rPr>
          <w:sz w:val="22"/>
          <w:szCs w:val="22"/>
        </w:rPr>
        <w:t>; and</w:t>
      </w:r>
    </w:p>
    <w:p w:rsidR="00D31B13" w:rsidRPr="004D2041" w:rsidRDefault="007B2235" w:rsidP="00417117">
      <w:pPr>
        <w:spacing w:after="240" w:line="360" w:lineRule="auto"/>
        <w:ind w:left="1440"/>
        <w:rPr>
          <w:sz w:val="22"/>
          <w:szCs w:val="22"/>
        </w:rPr>
      </w:pPr>
      <w:r w:rsidRPr="004D2041">
        <w:rPr>
          <w:sz w:val="22"/>
          <w:szCs w:val="22"/>
        </w:rPr>
        <w:t>(</w:t>
      </w:r>
      <w:r w:rsidR="00417117" w:rsidRPr="004D2041">
        <w:rPr>
          <w:sz w:val="22"/>
          <w:szCs w:val="22"/>
        </w:rPr>
        <w:t>v</w:t>
      </w:r>
      <w:r w:rsidRPr="004D2041">
        <w:rPr>
          <w:sz w:val="22"/>
          <w:szCs w:val="22"/>
        </w:rPr>
        <w:t>)</w:t>
      </w:r>
      <w:r w:rsidRPr="004D2041">
        <w:rPr>
          <w:sz w:val="22"/>
          <w:szCs w:val="22"/>
        </w:rPr>
        <w:tab/>
        <w:t>has no other exhibits</w:t>
      </w:r>
      <w:r w:rsidR="00D31B13" w:rsidRPr="004D2041">
        <w:rPr>
          <w:sz w:val="22"/>
          <w:szCs w:val="22"/>
        </w:rPr>
        <w:t>.</w:t>
      </w:r>
    </w:p>
    <w:p w:rsidR="00B5101C" w:rsidRPr="004D2041" w:rsidRDefault="00B5101C" w:rsidP="00417117">
      <w:pPr>
        <w:spacing w:after="240" w:line="360" w:lineRule="auto"/>
        <w:ind w:left="1440"/>
        <w:rPr>
          <w:sz w:val="22"/>
          <w:szCs w:val="22"/>
        </w:rPr>
      </w:pPr>
      <w:r w:rsidRPr="004D2041">
        <w:rPr>
          <w:sz w:val="22"/>
          <w:szCs w:val="22"/>
        </w:rPr>
        <w:lastRenderedPageBreak/>
        <w:t>In prepar</w:t>
      </w:r>
      <w:r w:rsidR="006C4D67" w:rsidRPr="004D2041">
        <w:rPr>
          <w:sz w:val="22"/>
          <w:szCs w:val="22"/>
        </w:rPr>
        <w:t>ing</w:t>
      </w:r>
      <w:r w:rsidRPr="004D2041">
        <w:rPr>
          <w:sz w:val="22"/>
          <w:szCs w:val="22"/>
        </w:rPr>
        <w:t xml:space="preserve"> the affidavit, practitioners should have regard to the relevant authorities which provide examples of the type of conduct that may ground a claim under s 233</w:t>
      </w:r>
      <w:r w:rsidR="00E16085">
        <w:rPr>
          <w:sz w:val="22"/>
          <w:szCs w:val="22"/>
        </w:rPr>
        <w:t xml:space="preserve"> of the Corporations Act</w:t>
      </w:r>
      <w:r w:rsidRPr="004D2041">
        <w:rPr>
          <w:sz w:val="22"/>
          <w:szCs w:val="22"/>
        </w:rPr>
        <w:t>.</w:t>
      </w:r>
    </w:p>
    <w:p w:rsidR="00296E52" w:rsidRDefault="00B5101C" w:rsidP="00B5101C">
      <w:pPr>
        <w:spacing w:after="240" w:line="360" w:lineRule="auto"/>
        <w:ind w:left="1440" w:hanging="720"/>
        <w:rPr>
          <w:sz w:val="22"/>
          <w:szCs w:val="22"/>
        </w:rPr>
      </w:pPr>
      <w:r w:rsidRPr="004D2041">
        <w:rPr>
          <w:sz w:val="22"/>
          <w:szCs w:val="22"/>
        </w:rPr>
        <w:t>(b)</w:t>
      </w:r>
      <w:r w:rsidRPr="004D2041">
        <w:rPr>
          <w:sz w:val="22"/>
          <w:szCs w:val="22"/>
        </w:rPr>
        <w:tab/>
      </w:r>
      <w:r w:rsidR="00296E52">
        <w:rPr>
          <w:sz w:val="22"/>
          <w:szCs w:val="22"/>
        </w:rPr>
        <w:t xml:space="preserve">Upon initiation, the matter will be entered into the Judge-managed Corporations List and will attract an Entry into List fee in accordance with </w:t>
      </w:r>
      <w:r w:rsidR="00DD24A0">
        <w:rPr>
          <w:sz w:val="22"/>
          <w:szCs w:val="22"/>
        </w:rPr>
        <w:t xml:space="preserve">regulation 8A of the </w:t>
      </w:r>
      <w:r w:rsidR="00DD24A0" w:rsidRPr="00232227">
        <w:rPr>
          <w:i/>
          <w:sz w:val="22"/>
          <w:szCs w:val="22"/>
        </w:rPr>
        <w:t>Supreme Court Fee Regulations 2012</w:t>
      </w:r>
      <w:r w:rsidR="00DD24A0">
        <w:rPr>
          <w:sz w:val="22"/>
          <w:szCs w:val="22"/>
        </w:rPr>
        <w:t xml:space="preserve"> (Vic)</w:t>
      </w:r>
      <w:r w:rsidR="00296E52">
        <w:rPr>
          <w:sz w:val="22"/>
          <w:szCs w:val="22"/>
        </w:rPr>
        <w:t>.</w:t>
      </w:r>
    </w:p>
    <w:p w:rsidR="00296E52" w:rsidRDefault="00296E52" w:rsidP="00B5101C">
      <w:pPr>
        <w:spacing w:after="240" w:line="360" w:lineRule="auto"/>
        <w:ind w:left="1440" w:hanging="720"/>
        <w:rPr>
          <w:sz w:val="22"/>
          <w:szCs w:val="22"/>
        </w:rPr>
      </w:pPr>
      <w:r>
        <w:rPr>
          <w:sz w:val="22"/>
          <w:szCs w:val="22"/>
        </w:rPr>
        <w:t>(c)</w:t>
      </w:r>
      <w:r>
        <w:rPr>
          <w:sz w:val="22"/>
          <w:szCs w:val="22"/>
        </w:rPr>
        <w:tab/>
        <w:t>The Corporations List Managing Judge will revie</w:t>
      </w:r>
      <w:r w:rsidR="00463251">
        <w:rPr>
          <w:sz w:val="22"/>
          <w:szCs w:val="22"/>
        </w:rPr>
        <w:t>w the proceeding</w:t>
      </w:r>
      <w:r>
        <w:rPr>
          <w:sz w:val="22"/>
          <w:szCs w:val="22"/>
        </w:rPr>
        <w:t xml:space="preserve"> to decide whether it is a matter which lends itself to management under the </w:t>
      </w:r>
      <w:r w:rsidR="00A61752">
        <w:rPr>
          <w:sz w:val="22"/>
          <w:szCs w:val="22"/>
        </w:rPr>
        <w:t>P</w:t>
      </w:r>
      <w:r>
        <w:rPr>
          <w:sz w:val="22"/>
          <w:szCs w:val="22"/>
        </w:rPr>
        <w:t xml:space="preserve">ilot or whether the characteristics of the case suggest it would be more appropriately </w:t>
      </w:r>
      <w:r w:rsidR="004A70F2">
        <w:rPr>
          <w:sz w:val="22"/>
          <w:szCs w:val="22"/>
        </w:rPr>
        <w:t>managed and determined</w:t>
      </w:r>
      <w:r>
        <w:rPr>
          <w:sz w:val="22"/>
          <w:szCs w:val="22"/>
        </w:rPr>
        <w:t xml:space="preserve"> by a Judge.  </w:t>
      </w:r>
      <w:r w:rsidR="005E5026" w:rsidRPr="004D2041">
        <w:rPr>
          <w:sz w:val="22"/>
          <w:szCs w:val="22"/>
        </w:rPr>
        <w:t>For example, it is unlikely that the procedure will be appropriate if the application concerns a publicly listed company</w:t>
      </w:r>
      <w:r w:rsidR="005E5026">
        <w:rPr>
          <w:sz w:val="22"/>
          <w:szCs w:val="22"/>
        </w:rPr>
        <w:t xml:space="preserve"> or </w:t>
      </w:r>
      <w:r w:rsidR="001921E5">
        <w:rPr>
          <w:sz w:val="22"/>
          <w:szCs w:val="22"/>
        </w:rPr>
        <w:t>involves</w:t>
      </w:r>
      <w:r w:rsidR="005E5026">
        <w:rPr>
          <w:sz w:val="22"/>
          <w:szCs w:val="22"/>
        </w:rPr>
        <w:t xml:space="preserve"> complex trust structures</w:t>
      </w:r>
      <w:r w:rsidR="005E5026" w:rsidRPr="004D2041">
        <w:rPr>
          <w:sz w:val="22"/>
          <w:szCs w:val="22"/>
        </w:rPr>
        <w:t>.</w:t>
      </w:r>
      <w:r w:rsidR="005E5026">
        <w:rPr>
          <w:sz w:val="22"/>
          <w:szCs w:val="22"/>
        </w:rPr>
        <w:t xml:space="preserve">  </w:t>
      </w:r>
      <w:r w:rsidR="00463251">
        <w:rPr>
          <w:sz w:val="22"/>
          <w:szCs w:val="22"/>
        </w:rPr>
        <w:t xml:space="preserve">If the matter is suitable for inclusion in the </w:t>
      </w:r>
      <w:r w:rsidR="00A61752">
        <w:rPr>
          <w:sz w:val="22"/>
          <w:szCs w:val="22"/>
        </w:rPr>
        <w:t>P</w:t>
      </w:r>
      <w:r w:rsidR="00463251">
        <w:rPr>
          <w:sz w:val="22"/>
          <w:szCs w:val="22"/>
        </w:rPr>
        <w:t xml:space="preserve">ilot, the </w:t>
      </w:r>
      <w:r w:rsidR="00A61752">
        <w:rPr>
          <w:sz w:val="22"/>
          <w:szCs w:val="22"/>
        </w:rPr>
        <w:t xml:space="preserve">Corporations List Managing </w:t>
      </w:r>
      <w:r w:rsidR="00463251">
        <w:rPr>
          <w:sz w:val="22"/>
          <w:szCs w:val="22"/>
        </w:rPr>
        <w:t xml:space="preserve">Judge will formally refer the matter on the papers.  </w:t>
      </w:r>
    </w:p>
    <w:p w:rsidR="00F65EAE" w:rsidRDefault="00463251" w:rsidP="00F65EAE">
      <w:pPr>
        <w:spacing w:after="240" w:line="360" w:lineRule="auto"/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(d) </w:t>
      </w:r>
      <w:r>
        <w:rPr>
          <w:sz w:val="22"/>
          <w:szCs w:val="22"/>
        </w:rPr>
        <w:tab/>
      </w:r>
      <w:r w:rsidR="00486E00">
        <w:rPr>
          <w:sz w:val="22"/>
          <w:szCs w:val="22"/>
        </w:rPr>
        <w:t>Following entry into the Pilot and</w:t>
      </w:r>
      <w:r>
        <w:rPr>
          <w:sz w:val="22"/>
          <w:szCs w:val="22"/>
        </w:rPr>
        <w:t xml:space="preserve"> the filing of a notice of appearance by the Defendant(s), t</w:t>
      </w:r>
      <w:r w:rsidR="00D31B13" w:rsidRPr="004D2041">
        <w:rPr>
          <w:sz w:val="22"/>
          <w:szCs w:val="22"/>
        </w:rPr>
        <w:t xml:space="preserve">he application will </w:t>
      </w:r>
      <w:r w:rsidR="008B21C0" w:rsidRPr="004D2041">
        <w:rPr>
          <w:sz w:val="22"/>
          <w:szCs w:val="22"/>
        </w:rPr>
        <w:t xml:space="preserve">be made returnable for </w:t>
      </w:r>
      <w:r w:rsidR="006F70F2" w:rsidRPr="004D2041">
        <w:rPr>
          <w:sz w:val="22"/>
          <w:szCs w:val="22"/>
        </w:rPr>
        <w:t xml:space="preserve">an initial </w:t>
      </w:r>
      <w:r w:rsidR="00AF4E7A" w:rsidRPr="004D2041">
        <w:rPr>
          <w:sz w:val="22"/>
          <w:szCs w:val="22"/>
        </w:rPr>
        <w:t>conference</w:t>
      </w:r>
      <w:r w:rsidR="008B21C0" w:rsidRPr="004D2041">
        <w:rPr>
          <w:sz w:val="22"/>
          <w:szCs w:val="22"/>
        </w:rPr>
        <w:t xml:space="preserve"> before </w:t>
      </w:r>
      <w:r w:rsidR="00863307" w:rsidRPr="004D2041">
        <w:rPr>
          <w:sz w:val="22"/>
          <w:szCs w:val="22"/>
        </w:rPr>
        <w:t>an Associate Judge</w:t>
      </w:r>
      <w:r w:rsidR="00C77095">
        <w:rPr>
          <w:sz w:val="22"/>
          <w:szCs w:val="22"/>
        </w:rPr>
        <w:t xml:space="preserve"> or a Judicial Registrar</w:t>
      </w:r>
      <w:r w:rsidR="008B21C0" w:rsidRPr="004D2041">
        <w:rPr>
          <w:sz w:val="22"/>
          <w:szCs w:val="22"/>
        </w:rPr>
        <w:t>.</w:t>
      </w:r>
      <w:r w:rsidR="00AF4E7A" w:rsidRPr="004D2041">
        <w:rPr>
          <w:sz w:val="22"/>
          <w:szCs w:val="22"/>
        </w:rPr>
        <w:t xml:space="preserve">  The parties</w:t>
      </w:r>
      <w:r w:rsidR="007B2235" w:rsidRPr="004D2041">
        <w:rPr>
          <w:sz w:val="22"/>
          <w:szCs w:val="22"/>
        </w:rPr>
        <w:t xml:space="preserve"> (as well as their practitioners)</w:t>
      </w:r>
      <w:r w:rsidR="00AF4E7A" w:rsidRPr="004D2041">
        <w:rPr>
          <w:sz w:val="22"/>
          <w:szCs w:val="22"/>
        </w:rPr>
        <w:t xml:space="preserve"> will be expected to attend that conference.  The </w:t>
      </w:r>
      <w:r w:rsidR="00863307" w:rsidRPr="004D2041">
        <w:rPr>
          <w:sz w:val="22"/>
          <w:szCs w:val="22"/>
        </w:rPr>
        <w:t xml:space="preserve">Associate Judge </w:t>
      </w:r>
      <w:r w:rsidR="00C77095">
        <w:rPr>
          <w:sz w:val="22"/>
          <w:szCs w:val="22"/>
        </w:rPr>
        <w:t xml:space="preserve">or Judicial Registrar </w:t>
      </w:r>
      <w:r w:rsidR="00AF4E7A" w:rsidRPr="004D2041">
        <w:rPr>
          <w:sz w:val="22"/>
          <w:szCs w:val="22"/>
        </w:rPr>
        <w:t xml:space="preserve">will explore with the parties </w:t>
      </w:r>
      <w:r>
        <w:rPr>
          <w:sz w:val="22"/>
          <w:szCs w:val="22"/>
        </w:rPr>
        <w:t>whether the matter is ready for referral to mediation or whether any preliminary</w:t>
      </w:r>
      <w:r w:rsidR="00AF4E7A" w:rsidRPr="004D2041">
        <w:rPr>
          <w:sz w:val="22"/>
          <w:szCs w:val="22"/>
        </w:rPr>
        <w:t xml:space="preserve"> steps are </w:t>
      </w:r>
      <w:r>
        <w:rPr>
          <w:sz w:val="22"/>
          <w:szCs w:val="22"/>
        </w:rPr>
        <w:t>required to be under</w:t>
      </w:r>
      <w:r w:rsidR="00AF4E7A" w:rsidRPr="004D2041">
        <w:rPr>
          <w:sz w:val="22"/>
          <w:szCs w:val="22"/>
        </w:rPr>
        <w:t>taken</w:t>
      </w:r>
      <w:r>
        <w:rPr>
          <w:sz w:val="22"/>
          <w:szCs w:val="22"/>
        </w:rPr>
        <w:t xml:space="preserve">, </w:t>
      </w:r>
      <w:r w:rsidR="00B5101C" w:rsidRPr="004D2041">
        <w:rPr>
          <w:sz w:val="22"/>
          <w:szCs w:val="22"/>
        </w:rPr>
        <w:t>for example</w:t>
      </w:r>
      <w:r w:rsidR="00DE4C76">
        <w:rPr>
          <w:sz w:val="22"/>
          <w:szCs w:val="22"/>
        </w:rPr>
        <w:t>,</w:t>
      </w:r>
      <w:r w:rsidR="00B5101C" w:rsidRPr="004D2041">
        <w:rPr>
          <w:sz w:val="22"/>
          <w:szCs w:val="22"/>
        </w:rPr>
        <w:t xml:space="preserve"> </w:t>
      </w:r>
      <w:r>
        <w:rPr>
          <w:sz w:val="22"/>
          <w:szCs w:val="22"/>
        </w:rPr>
        <w:t>whether</w:t>
      </w:r>
      <w:r w:rsidR="00F65EAE">
        <w:rPr>
          <w:sz w:val="22"/>
          <w:szCs w:val="22"/>
        </w:rPr>
        <w:t>:</w:t>
      </w:r>
    </w:p>
    <w:p w:rsidR="00F65EAE" w:rsidRDefault="00F65EAE" w:rsidP="00232227">
      <w:pPr>
        <w:spacing w:after="240" w:line="360" w:lineRule="auto"/>
        <w:ind w:left="2160" w:hanging="720"/>
        <w:rPr>
          <w:sz w:val="22"/>
          <w:szCs w:val="22"/>
        </w:rPr>
      </w:pPr>
      <w:r>
        <w:rPr>
          <w:sz w:val="22"/>
          <w:szCs w:val="22"/>
        </w:rPr>
        <w:t>(i)</w:t>
      </w:r>
      <w:r w:rsidR="0046325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B5101C" w:rsidRPr="004D2041">
        <w:rPr>
          <w:sz w:val="22"/>
          <w:szCs w:val="22"/>
        </w:rPr>
        <w:t>the Defendant</w:t>
      </w:r>
      <w:r w:rsidR="004B61D9" w:rsidRPr="004D2041">
        <w:rPr>
          <w:sz w:val="22"/>
          <w:szCs w:val="22"/>
        </w:rPr>
        <w:t>(s)</w:t>
      </w:r>
      <w:r w:rsidR="00B5101C" w:rsidRPr="004D2041">
        <w:rPr>
          <w:sz w:val="22"/>
          <w:szCs w:val="22"/>
        </w:rPr>
        <w:t xml:space="preserve"> should first be afforded an opportunity to file a responding affidavit of no more than 3 pages</w:t>
      </w:r>
      <w:r>
        <w:rPr>
          <w:sz w:val="22"/>
          <w:szCs w:val="22"/>
        </w:rPr>
        <w:t>;</w:t>
      </w:r>
      <w:r w:rsidR="00B5101C" w:rsidRPr="004D2041">
        <w:rPr>
          <w:sz w:val="22"/>
          <w:szCs w:val="22"/>
        </w:rPr>
        <w:t xml:space="preserve"> </w:t>
      </w:r>
      <w:r w:rsidR="00463251">
        <w:rPr>
          <w:sz w:val="22"/>
          <w:szCs w:val="22"/>
        </w:rPr>
        <w:t xml:space="preserve"> </w:t>
      </w:r>
    </w:p>
    <w:p w:rsidR="00F65EAE" w:rsidRDefault="00F65EAE" w:rsidP="00232227">
      <w:pPr>
        <w:spacing w:after="240" w:line="360" w:lineRule="auto"/>
        <w:ind w:left="2160" w:hanging="720"/>
        <w:rPr>
          <w:sz w:val="22"/>
          <w:szCs w:val="22"/>
        </w:rPr>
      </w:pPr>
      <w:r>
        <w:rPr>
          <w:sz w:val="22"/>
          <w:szCs w:val="22"/>
        </w:rPr>
        <w:t>(ii)</w:t>
      </w:r>
      <w:r>
        <w:rPr>
          <w:sz w:val="22"/>
          <w:szCs w:val="22"/>
        </w:rPr>
        <w:tab/>
      </w:r>
      <w:r w:rsidR="00463251">
        <w:rPr>
          <w:sz w:val="22"/>
          <w:szCs w:val="22"/>
        </w:rPr>
        <w:t>a valuation of the company should be arranged</w:t>
      </w:r>
      <w:r>
        <w:rPr>
          <w:sz w:val="22"/>
          <w:szCs w:val="22"/>
        </w:rPr>
        <w:t>; or</w:t>
      </w:r>
    </w:p>
    <w:p w:rsidR="00D31B13" w:rsidRDefault="00F65EAE" w:rsidP="00232227">
      <w:pPr>
        <w:spacing w:after="240" w:line="360" w:lineRule="auto"/>
        <w:ind w:left="2160" w:hanging="720"/>
        <w:rPr>
          <w:sz w:val="22"/>
          <w:szCs w:val="22"/>
        </w:rPr>
      </w:pPr>
      <w:r>
        <w:rPr>
          <w:sz w:val="22"/>
          <w:szCs w:val="22"/>
        </w:rPr>
        <w:t xml:space="preserve">(iii) </w:t>
      </w:r>
      <w:r w:rsidR="00AF4E7A" w:rsidRPr="004D204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4D2041">
        <w:rPr>
          <w:sz w:val="22"/>
          <w:szCs w:val="22"/>
        </w:rPr>
        <w:t>an order for access and inspection of the books of the company</w:t>
      </w:r>
      <w:r w:rsidR="00743C3F">
        <w:rPr>
          <w:sz w:val="22"/>
          <w:szCs w:val="22"/>
        </w:rPr>
        <w:t xml:space="preserve"> should be made.</w:t>
      </w:r>
    </w:p>
    <w:p w:rsidR="00585E85" w:rsidRPr="004D2041" w:rsidRDefault="00585E85" w:rsidP="00232227">
      <w:pPr>
        <w:spacing w:after="240" w:line="360" w:lineRule="auto"/>
        <w:ind w:left="1418" w:firstLine="22"/>
        <w:jc w:val="both"/>
        <w:rPr>
          <w:sz w:val="22"/>
          <w:szCs w:val="22"/>
        </w:rPr>
      </w:pPr>
      <w:r w:rsidRPr="004D2041">
        <w:rPr>
          <w:sz w:val="22"/>
          <w:szCs w:val="22"/>
        </w:rPr>
        <w:t xml:space="preserve">Orders for points of claim, points of defence and more detailed affidavits </w:t>
      </w:r>
      <w:r>
        <w:rPr>
          <w:sz w:val="22"/>
          <w:szCs w:val="22"/>
        </w:rPr>
        <w:t xml:space="preserve">are </w:t>
      </w:r>
      <w:r w:rsidRPr="004D2041">
        <w:rPr>
          <w:sz w:val="22"/>
          <w:szCs w:val="22"/>
        </w:rPr>
        <w:t>unlikely to be made until after the mediation.</w:t>
      </w:r>
    </w:p>
    <w:p w:rsidR="0029318B" w:rsidRDefault="00B5101C" w:rsidP="00585E85">
      <w:pPr>
        <w:spacing w:after="240" w:line="360" w:lineRule="auto"/>
        <w:ind w:left="1440" w:hanging="720"/>
        <w:rPr>
          <w:sz w:val="22"/>
          <w:szCs w:val="22"/>
        </w:rPr>
      </w:pPr>
      <w:r w:rsidRPr="004D2041">
        <w:rPr>
          <w:sz w:val="22"/>
          <w:szCs w:val="22"/>
        </w:rPr>
        <w:t>(</w:t>
      </w:r>
      <w:r w:rsidR="0029318B">
        <w:rPr>
          <w:sz w:val="22"/>
          <w:szCs w:val="22"/>
        </w:rPr>
        <w:t>e</w:t>
      </w:r>
      <w:r w:rsidRPr="004D2041">
        <w:rPr>
          <w:sz w:val="22"/>
          <w:szCs w:val="22"/>
        </w:rPr>
        <w:t>)</w:t>
      </w:r>
      <w:r w:rsidRPr="004D2041">
        <w:rPr>
          <w:sz w:val="22"/>
          <w:szCs w:val="22"/>
        </w:rPr>
        <w:tab/>
      </w:r>
      <w:r w:rsidR="00463251">
        <w:rPr>
          <w:sz w:val="22"/>
          <w:szCs w:val="22"/>
        </w:rPr>
        <w:t xml:space="preserve">A number of </w:t>
      </w:r>
      <w:r w:rsidR="0029318B">
        <w:rPr>
          <w:sz w:val="22"/>
          <w:szCs w:val="22"/>
        </w:rPr>
        <w:t xml:space="preserve">matters will be listed for initial conference before an Associate Judge </w:t>
      </w:r>
      <w:r w:rsidR="00C77095">
        <w:rPr>
          <w:sz w:val="22"/>
          <w:szCs w:val="22"/>
        </w:rPr>
        <w:t xml:space="preserve">or Judicial Registrar </w:t>
      </w:r>
      <w:r w:rsidR="0029318B">
        <w:rPr>
          <w:sz w:val="22"/>
          <w:szCs w:val="22"/>
        </w:rPr>
        <w:t>on the same day.  Whilst the parties are encouraged to ado</w:t>
      </w:r>
      <w:r w:rsidR="00DE4C76">
        <w:rPr>
          <w:sz w:val="22"/>
          <w:szCs w:val="22"/>
        </w:rPr>
        <w:t xml:space="preserve">pt a pragmatic and collaborative </w:t>
      </w:r>
      <w:r w:rsidR="0029318B">
        <w:rPr>
          <w:sz w:val="22"/>
          <w:szCs w:val="22"/>
        </w:rPr>
        <w:t xml:space="preserve">approach to </w:t>
      </w:r>
      <w:r w:rsidR="00DE4C76">
        <w:rPr>
          <w:sz w:val="22"/>
          <w:szCs w:val="22"/>
        </w:rPr>
        <w:t xml:space="preserve">identifying </w:t>
      </w:r>
      <w:r w:rsidR="001921E5">
        <w:rPr>
          <w:sz w:val="22"/>
          <w:szCs w:val="22"/>
        </w:rPr>
        <w:t xml:space="preserve">any </w:t>
      </w:r>
      <w:r w:rsidR="00DE4C76">
        <w:rPr>
          <w:sz w:val="22"/>
          <w:szCs w:val="22"/>
        </w:rPr>
        <w:t>necessary preliminary steps, c</w:t>
      </w:r>
      <w:r w:rsidR="0029318B">
        <w:rPr>
          <w:sz w:val="22"/>
          <w:szCs w:val="22"/>
        </w:rPr>
        <w:t>onsent orders will not be made in ad</w:t>
      </w:r>
      <w:r w:rsidR="00DE4C76">
        <w:rPr>
          <w:sz w:val="22"/>
          <w:szCs w:val="22"/>
        </w:rPr>
        <w:t>vance of the initial conference.</w:t>
      </w:r>
    </w:p>
    <w:p w:rsidR="008B21C0" w:rsidRPr="004D2041" w:rsidRDefault="0029318B" w:rsidP="0029318B">
      <w:pPr>
        <w:spacing w:after="240" w:line="360" w:lineRule="auto"/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(f) </w:t>
      </w:r>
      <w:r>
        <w:rPr>
          <w:sz w:val="22"/>
          <w:szCs w:val="22"/>
        </w:rPr>
        <w:tab/>
      </w:r>
      <w:r w:rsidR="008B21C0" w:rsidRPr="004D2041">
        <w:rPr>
          <w:sz w:val="22"/>
          <w:szCs w:val="22"/>
        </w:rPr>
        <w:t>If urgent orders are sought</w:t>
      </w:r>
      <w:r>
        <w:rPr>
          <w:sz w:val="22"/>
          <w:szCs w:val="22"/>
        </w:rPr>
        <w:t xml:space="preserve"> at the initial conference</w:t>
      </w:r>
      <w:r w:rsidR="006A23C5" w:rsidRPr="004D2041">
        <w:rPr>
          <w:sz w:val="22"/>
          <w:szCs w:val="22"/>
        </w:rPr>
        <w:t xml:space="preserve"> that are beyond the jurisdiction of Associate Judges</w:t>
      </w:r>
      <w:r w:rsidR="00C77095">
        <w:rPr>
          <w:sz w:val="22"/>
          <w:szCs w:val="22"/>
        </w:rPr>
        <w:t xml:space="preserve"> or Judicial Registrars</w:t>
      </w:r>
      <w:r w:rsidR="008B21C0" w:rsidRPr="004D2041">
        <w:rPr>
          <w:sz w:val="22"/>
          <w:szCs w:val="22"/>
        </w:rPr>
        <w:t xml:space="preserve">, or for some other reason </w:t>
      </w:r>
      <w:r w:rsidR="00863307" w:rsidRPr="004D2041">
        <w:rPr>
          <w:sz w:val="22"/>
          <w:szCs w:val="22"/>
        </w:rPr>
        <w:t xml:space="preserve">the </w:t>
      </w:r>
      <w:r w:rsidR="00C77095">
        <w:rPr>
          <w:sz w:val="22"/>
          <w:szCs w:val="22"/>
        </w:rPr>
        <w:t>presiding judicial officer</w:t>
      </w:r>
      <w:r w:rsidR="00863307" w:rsidRPr="004D2041">
        <w:rPr>
          <w:sz w:val="22"/>
          <w:szCs w:val="22"/>
        </w:rPr>
        <w:t xml:space="preserve"> </w:t>
      </w:r>
      <w:r w:rsidR="008B21C0" w:rsidRPr="004D2041">
        <w:rPr>
          <w:sz w:val="22"/>
          <w:szCs w:val="22"/>
        </w:rPr>
        <w:t xml:space="preserve">forms the view that the application </w:t>
      </w:r>
      <w:r w:rsidR="007B2235" w:rsidRPr="004D2041">
        <w:rPr>
          <w:sz w:val="22"/>
          <w:szCs w:val="22"/>
        </w:rPr>
        <w:t>should</w:t>
      </w:r>
      <w:r w:rsidR="008B21C0" w:rsidRPr="004D2041">
        <w:rPr>
          <w:sz w:val="22"/>
          <w:szCs w:val="22"/>
        </w:rPr>
        <w:t xml:space="preserve"> be r</w:t>
      </w:r>
      <w:r w:rsidR="006A23C5" w:rsidRPr="004D2041">
        <w:rPr>
          <w:sz w:val="22"/>
          <w:szCs w:val="22"/>
        </w:rPr>
        <w:t xml:space="preserve">eferred </w:t>
      </w:r>
      <w:r>
        <w:rPr>
          <w:sz w:val="22"/>
          <w:szCs w:val="22"/>
        </w:rPr>
        <w:t xml:space="preserve">back </w:t>
      </w:r>
      <w:r w:rsidR="006A23C5" w:rsidRPr="004D2041">
        <w:rPr>
          <w:sz w:val="22"/>
          <w:szCs w:val="22"/>
        </w:rPr>
        <w:t xml:space="preserve">to </w:t>
      </w:r>
      <w:r>
        <w:rPr>
          <w:sz w:val="22"/>
          <w:szCs w:val="22"/>
        </w:rPr>
        <w:t xml:space="preserve">the Corporations List Managing </w:t>
      </w:r>
      <w:r w:rsidR="006A23C5" w:rsidRPr="004D2041">
        <w:rPr>
          <w:sz w:val="22"/>
          <w:szCs w:val="22"/>
        </w:rPr>
        <w:t>J</w:t>
      </w:r>
      <w:r w:rsidR="008B21C0" w:rsidRPr="004D2041">
        <w:rPr>
          <w:sz w:val="22"/>
          <w:szCs w:val="22"/>
        </w:rPr>
        <w:t>udge, then that referral will be made</w:t>
      </w:r>
      <w:r w:rsidR="00DD24A0">
        <w:rPr>
          <w:sz w:val="22"/>
          <w:szCs w:val="22"/>
        </w:rPr>
        <w:t>.</w:t>
      </w:r>
      <w:r w:rsidR="00C50146" w:rsidRPr="004D2041">
        <w:rPr>
          <w:sz w:val="22"/>
          <w:szCs w:val="22"/>
        </w:rPr>
        <w:t xml:space="preserve">  </w:t>
      </w:r>
    </w:p>
    <w:p w:rsidR="00806CA9" w:rsidRDefault="00B5101C" w:rsidP="00DE4C76">
      <w:pPr>
        <w:tabs>
          <w:tab w:val="num" w:pos="1080"/>
        </w:tabs>
        <w:spacing w:after="240" w:line="360" w:lineRule="auto"/>
        <w:ind w:left="1440" w:hanging="720"/>
        <w:rPr>
          <w:sz w:val="22"/>
          <w:szCs w:val="22"/>
        </w:rPr>
      </w:pPr>
      <w:r w:rsidRPr="004D2041">
        <w:rPr>
          <w:sz w:val="22"/>
          <w:szCs w:val="22"/>
        </w:rPr>
        <w:t>(</w:t>
      </w:r>
      <w:r w:rsidR="00E3365A">
        <w:rPr>
          <w:sz w:val="22"/>
          <w:szCs w:val="22"/>
        </w:rPr>
        <w:t>g</w:t>
      </w:r>
      <w:r w:rsidRPr="004D2041">
        <w:rPr>
          <w:sz w:val="22"/>
          <w:szCs w:val="22"/>
        </w:rPr>
        <w:t>)</w:t>
      </w:r>
      <w:r w:rsidRPr="004D2041">
        <w:rPr>
          <w:sz w:val="22"/>
          <w:szCs w:val="22"/>
        </w:rPr>
        <w:tab/>
      </w:r>
      <w:r w:rsidR="00C77095">
        <w:rPr>
          <w:sz w:val="22"/>
          <w:szCs w:val="22"/>
        </w:rPr>
        <w:tab/>
      </w:r>
      <w:r w:rsidR="00DE4C76">
        <w:rPr>
          <w:sz w:val="22"/>
          <w:szCs w:val="22"/>
        </w:rPr>
        <w:t xml:space="preserve">Matters under the </w:t>
      </w:r>
      <w:r w:rsidR="00FE6521">
        <w:rPr>
          <w:sz w:val="22"/>
          <w:szCs w:val="22"/>
        </w:rPr>
        <w:t>P</w:t>
      </w:r>
      <w:r w:rsidR="00DE4C76">
        <w:rPr>
          <w:sz w:val="22"/>
          <w:szCs w:val="22"/>
        </w:rPr>
        <w:t xml:space="preserve">ilot will </w:t>
      </w:r>
      <w:r w:rsidR="005E5026">
        <w:rPr>
          <w:sz w:val="22"/>
          <w:szCs w:val="22"/>
        </w:rPr>
        <w:t xml:space="preserve">generally </w:t>
      </w:r>
      <w:r w:rsidR="00DE4C76">
        <w:rPr>
          <w:sz w:val="22"/>
          <w:szCs w:val="22"/>
        </w:rPr>
        <w:t xml:space="preserve">be mediated by either an Associate Judge or a Judicial Registrar.  </w:t>
      </w:r>
      <w:r w:rsidR="00806CA9">
        <w:rPr>
          <w:sz w:val="22"/>
          <w:szCs w:val="22"/>
        </w:rPr>
        <w:t>In some cases, the matter may be considered appropriate for referral to external private mediation</w:t>
      </w:r>
      <w:r w:rsidR="00E3365A">
        <w:rPr>
          <w:sz w:val="22"/>
          <w:szCs w:val="22"/>
        </w:rPr>
        <w:t>.</w:t>
      </w:r>
    </w:p>
    <w:p w:rsidR="006F70F2" w:rsidRPr="004D2041" w:rsidRDefault="00806CA9" w:rsidP="00806CA9">
      <w:pPr>
        <w:tabs>
          <w:tab w:val="num" w:pos="1080"/>
        </w:tabs>
        <w:spacing w:after="240" w:line="360" w:lineRule="auto"/>
        <w:ind w:left="1440" w:hanging="720"/>
        <w:rPr>
          <w:sz w:val="22"/>
          <w:szCs w:val="22"/>
        </w:rPr>
      </w:pPr>
      <w:r>
        <w:rPr>
          <w:sz w:val="22"/>
          <w:szCs w:val="22"/>
        </w:rPr>
        <w:t>(</w:t>
      </w:r>
      <w:r w:rsidR="00E3365A">
        <w:rPr>
          <w:sz w:val="22"/>
          <w:szCs w:val="22"/>
        </w:rPr>
        <w:t>h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E4C76">
        <w:rPr>
          <w:sz w:val="22"/>
          <w:szCs w:val="22"/>
        </w:rPr>
        <w:t>I</w:t>
      </w:r>
      <w:r w:rsidR="006F70F2" w:rsidRPr="004D2041">
        <w:rPr>
          <w:sz w:val="22"/>
          <w:szCs w:val="22"/>
        </w:rPr>
        <w:t xml:space="preserve">f </w:t>
      </w:r>
      <w:r w:rsidR="00DE4C76">
        <w:rPr>
          <w:sz w:val="22"/>
          <w:szCs w:val="22"/>
        </w:rPr>
        <w:t>a</w:t>
      </w:r>
      <w:r w:rsidR="00DE4C76" w:rsidRPr="004D2041">
        <w:rPr>
          <w:sz w:val="22"/>
          <w:szCs w:val="22"/>
        </w:rPr>
        <w:t xml:space="preserve"> </w:t>
      </w:r>
      <w:r w:rsidR="006F70F2" w:rsidRPr="004D2041">
        <w:rPr>
          <w:sz w:val="22"/>
          <w:szCs w:val="22"/>
        </w:rPr>
        <w:t xml:space="preserve">matter does not resolve at the </w:t>
      </w:r>
      <w:r w:rsidR="00DE4C76">
        <w:rPr>
          <w:sz w:val="22"/>
          <w:szCs w:val="22"/>
        </w:rPr>
        <w:t>mediation</w:t>
      </w:r>
      <w:r w:rsidR="006F70F2" w:rsidRPr="004D2041">
        <w:rPr>
          <w:sz w:val="22"/>
          <w:szCs w:val="22"/>
        </w:rPr>
        <w:t xml:space="preserve">, </w:t>
      </w:r>
      <w:r w:rsidR="00417117" w:rsidRPr="004D2041">
        <w:rPr>
          <w:sz w:val="22"/>
          <w:szCs w:val="22"/>
        </w:rPr>
        <w:t>an</w:t>
      </w:r>
      <w:r w:rsidR="00863307" w:rsidRPr="004D2041">
        <w:rPr>
          <w:sz w:val="22"/>
          <w:szCs w:val="22"/>
        </w:rPr>
        <w:t xml:space="preserve"> Associate Judge</w:t>
      </w:r>
      <w:r w:rsidR="006F70F2" w:rsidRPr="004D2041">
        <w:rPr>
          <w:sz w:val="22"/>
          <w:szCs w:val="22"/>
        </w:rPr>
        <w:t xml:space="preserve"> </w:t>
      </w:r>
      <w:r w:rsidR="00DE4C76">
        <w:rPr>
          <w:sz w:val="22"/>
          <w:szCs w:val="22"/>
        </w:rPr>
        <w:t xml:space="preserve">or Judicial Registrar may make consent </w:t>
      </w:r>
      <w:r w:rsidR="006F70F2" w:rsidRPr="004D2041">
        <w:rPr>
          <w:sz w:val="22"/>
          <w:szCs w:val="22"/>
        </w:rPr>
        <w:t xml:space="preserve">directions for the future conduct of the matter.  </w:t>
      </w:r>
    </w:p>
    <w:p w:rsidR="008B21C0" w:rsidRPr="004D2041" w:rsidRDefault="00B5101C" w:rsidP="00417117">
      <w:pPr>
        <w:spacing w:after="240" w:line="360" w:lineRule="auto"/>
        <w:ind w:left="1440" w:hanging="720"/>
        <w:rPr>
          <w:sz w:val="22"/>
          <w:szCs w:val="22"/>
        </w:rPr>
      </w:pPr>
      <w:r w:rsidRPr="004D2041">
        <w:rPr>
          <w:sz w:val="22"/>
          <w:szCs w:val="22"/>
        </w:rPr>
        <w:t>(</w:t>
      </w:r>
      <w:r w:rsidR="00E3365A">
        <w:rPr>
          <w:sz w:val="22"/>
          <w:szCs w:val="22"/>
        </w:rPr>
        <w:t>i</w:t>
      </w:r>
      <w:r w:rsidRPr="004D2041">
        <w:rPr>
          <w:sz w:val="22"/>
          <w:szCs w:val="22"/>
        </w:rPr>
        <w:t>)</w:t>
      </w:r>
      <w:r w:rsidRPr="004D2041">
        <w:rPr>
          <w:sz w:val="22"/>
          <w:szCs w:val="22"/>
        </w:rPr>
        <w:tab/>
      </w:r>
      <w:r w:rsidR="008B21C0" w:rsidRPr="004D2041">
        <w:rPr>
          <w:sz w:val="22"/>
          <w:szCs w:val="22"/>
        </w:rPr>
        <w:t xml:space="preserve">Once these steps have been completed, and if the dispute has not resolved, the application </w:t>
      </w:r>
      <w:r w:rsidR="005E5026">
        <w:rPr>
          <w:sz w:val="22"/>
          <w:szCs w:val="22"/>
        </w:rPr>
        <w:t>may</w:t>
      </w:r>
      <w:r w:rsidR="005E5026" w:rsidRPr="004D2041">
        <w:rPr>
          <w:sz w:val="22"/>
          <w:szCs w:val="22"/>
        </w:rPr>
        <w:t xml:space="preserve"> </w:t>
      </w:r>
      <w:r w:rsidR="008B21C0" w:rsidRPr="004D2041">
        <w:rPr>
          <w:sz w:val="22"/>
          <w:szCs w:val="22"/>
        </w:rPr>
        <w:t>be</w:t>
      </w:r>
      <w:r w:rsidR="00DD24A0">
        <w:rPr>
          <w:sz w:val="22"/>
          <w:szCs w:val="22"/>
        </w:rPr>
        <w:t xml:space="preserve"> </w:t>
      </w:r>
      <w:r w:rsidR="006A23C5" w:rsidRPr="004D2041">
        <w:rPr>
          <w:sz w:val="22"/>
          <w:szCs w:val="22"/>
        </w:rPr>
        <w:t>referred to a Judge for</w:t>
      </w:r>
      <w:r w:rsidR="008B21C0" w:rsidRPr="004D2041">
        <w:rPr>
          <w:sz w:val="22"/>
          <w:szCs w:val="22"/>
        </w:rPr>
        <w:t xml:space="preserve"> further directions and/or hearing.</w:t>
      </w:r>
    </w:p>
    <w:p w:rsidR="00595ABE" w:rsidRDefault="00B5101C" w:rsidP="00595ABE">
      <w:pPr>
        <w:spacing w:after="240" w:line="360" w:lineRule="auto"/>
        <w:ind w:left="720" w:hanging="720"/>
        <w:rPr>
          <w:sz w:val="22"/>
          <w:szCs w:val="22"/>
        </w:rPr>
      </w:pPr>
      <w:r w:rsidRPr="004D2041">
        <w:rPr>
          <w:sz w:val="22"/>
          <w:szCs w:val="22"/>
        </w:rPr>
        <w:t>5.</w:t>
      </w:r>
      <w:r w:rsidRPr="004D2041">
        <w:rPr>
          <w:sz w:val="22"/>
          <w:szCs w:val="22"/>
        </w:rPr>
        <w:tab/>
      </w:r>
      <w:r w:rsidR="008B21C0" w:rsidRPr="004D2041">
        <w:rPr>
          <w:sz w:val="22"/>
          <w:szCs w:val="22"/>
        </w:rPr>
        <w:t>This process will be reviewed by the Court after</w:t>
      </w:r>
      <w:r w:rsidR="00FE6521">
        <w:rPr>
          <w:sz w:val="22"/>
          <w:szCs w:val="22"/>
        </w:rPr>
        <w:t xml:space="preserve"> 1 </w:t>
      </w:r>
      <w:r w:rsidR="001921E5">
        <w:rPr>
          <w:sz w:val="22"/>
          <w:szCs w:val="22"/>
        </w:rPr>
        <w:t xml:space="preserve">August </w:t>
      </w:r>
      <w:r w:rsidR="00FE6521">
        <w:rPr>
          <w:sz w:val="22"/>
          <w:szCs w:val="22"/>
        </w:rPr>
        <w:t>2016</w:t>
      </w:r>
      <w:r w:rsidR="008B21C0" w:rsidRPr="004D2041">
        <w:rPr>
          <w:sz w:val="22"/>
          <w:szCs w:val="22"/>
        </w:rPr>
        <w:t>.</w:t>
      </w:r>
    </w:p>
    <w:p w:rsidR="00960D33" w:rsidRPr="004D2041" w:rsidRDefault="00960D33" w:rsidP="00595ABE">
      <w:pPr>
        <w:spacing w:after="240" w:line="36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>This Practice Note</w:t>
      </w:r>
      <w:r w:rsidR="00806CA9">
        <w:rPr>
          <w:sz w:val="22"/>
          <w:szCs w:val="22"/>
        </w:rPr>
        <w:t xml:space="preserve"> supersedes and</w:t>
      </w:r>
      <w:r>
        <w:rPr>
          <w:sz w:val="22"/>
          <w:szCs w:val="22"/>
        </w:rPr>
        <w:t xml:space="preserve"> replaces Practice Note </w:t>
      </w:r>
      <w:r w:rsidR="00E16085">
        <w:rPr>
          <w:sz w:val="22"/>
          <w:szCs w:val="22"/>
        </w:rPr>
        <w:t xml:space="preserve">No. </w:t>
      </w:r>
      <w:r>
        <w:rPr>
          <w:sz w:val="22"/>
          <w:szCs w:val="22"/>
        </w:rPr>
        <w:t>5 of 2014.</w:t>
      </w:r>
    </w:p>
    <w:p w:rsidR="003E7C35" w:rsidRPr="004D2041" w:rsidRDefault="003E7C35" w:rsidP="00B5101C">
      <w:pPr>
        <w:spacing w:after="240" w:line="360" w:lineRule="auto"/>
        <w:ind w:left="720" w:hanging="720"/>
        <w:rPr>
          <w:sz w:val="22"/>
          <w:szCs w:val="22"/>
        </w:rPr>
      </w:pPr>
    </w:p>
    <w:p w:rsidR="003E7C35" w:rsidRPr="004D2041" w:rsidRDefault="00C43E17" w:rsidP="003E7C35">
      <w:pPr>
        <w:spacing w:after="240"/>
        <w:ind w:left="720" w:hanging="720"/>
        <w:jc w:val="right"/>
        <w:rPr>
          <w:sz w:val="22"/>
          <w:szCs w:val="22"/>
        </w:rPr>
      </w:pPr>
      <w:r>
        <w:rPr>
          <w:sz w:val="22"/>
          <w:szCs w:val="22"/>
        </w:rPr>
        <w:t>27</w:t>
      </w:r>
      <w:r w:rsidR="00C77095">
        <w:rPr>
          <w:sz w:val="22"/>
          <w:szCs w:val="22"/>
        </w:rPr>
        <w:t xml:space="preserve"> August</w:t>
      </w:r>
      <w:r w:rsidR="003E7C35" w:rsidRPr="004D2041">
        <w:rPr>
          <w:sz w:val="22"/>
          <w:szCs w:val="22"/>
        </w:rPr>
        <w:t xml:space="preserve"> 201</w:t>
      </w:r>
      <w:r w:rsidR="00960D33">
        <w:rPr>
          <w:sz w:val="22"/>
          <w:szCs w:val="22"/>
        </w:rPr>
        <w:t>5</w:t>
      </w:r>
    </w:p>
    <w:p w:rsidR="003E7C35" w:rsidRPr="004D2041" w:rsidRDefault="003E7C35" w:rsidP="003E7C35">
      <w:pPr>
        <w:spacing w:after="240"/>
        <w:ind w:left="720" w:hanging="720"/>
        <w:jc w:val="right"/>
        <w:rPr>
          <w:sz w:val="22"/>
          <w:szCs w:val="22"/>
        </w:rPr>
      </w:pPr>
      <w:r w:rsidRPr="004D2041">
        <w:rPr>
          <w:sz w:val="22"/>
          <w:szCs w:val="22"/>
        </w:rPr>
        <w:t>Vivienne Macgillivray</w:t>
      </w:r>
    </w:p>
    <w:p w:rsidR="003E7C35" w:rsidRPr="004D2041" w:rsidRDefault="003E7C35" w:rsidP="003E7C35">
      <w:pPr>
        <w:spacing w:after="240"/>
        <w:ind w:left="720" w:hanging="720"/>
        <w:jc w:val="right"/>
        <w:rPr>
          <w:sz w:val="22"/>
          <w:szCs w:val="22"/>
        </w:rPr>
      </w:pPr>
      <w:r w:rsidRPr="004D2041">
        <w:rPr>
          <w:sz w:val="22"/>
          <w:szCs w:val="22"/>
        </w:rPr>
        <w:t>Executive Associate to the Chief Justice</w:t>
      </w:r>
    </w:p>
    <w:sectPr w:rsidR="003E7C35" w:rsidRPr="004D2041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095" w:rsidRDefault="00C77095">
      <w:r>
        <w:separator/>
      </w:r>
    </w:p>
  </w:endnote>
  <w:endnote w:type="continuationSeparator" w:id="0">
    <w:p w:rsidR="00C77095" w:rsidRDefault="00C7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8851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21E5" w:rsidRDefault="001921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64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7095" w:rsidRDefault="00C770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095" w:rsidRDefault="00C77095">
      <w:r>
        <w:separator/>
      </w:r>
    </w:p>
  </w:footnote>
  <w:footnote w:type="continuationSeparator" w:id="0">
    <w:p w:rsidR="00C77095" w:rsidRDefault="00C77095">
      <w:r>
        <w:continuationSeparator/>
      </w:r>
    </w:p>
  </w:footnote>
  <w:footnote w:id="1">
    <w:p w:rsidR="00C77095" w:rsidRDefault="00C770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2E2CA0">
        <w:rPr>
          <w:i/>
        </w:rPr>
        <w:t>Supreme Court (Corporations) Rules 2013</w:t>
      </w:r>
      <w:r>
        <w:t xml:space="preserve"> (‘Corporations Rules’), r 2.2(1)(a).</w:t>
      </w:r>
    </w:p>
  </w:footnote>
  <w:footnote w:id="2">
    <w:p w:rsidR="00C77095" w:rsidRDefault="00C770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Corporations Rules r 2.4(1).</w:t>
      </w:r>
    </w:p>
  </w:footnote>
  <w:footnote w:id="3">
    <w:p w:rsidR="00C77095" w:rsidRDefault="00C770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Australian Securities and Investments Commission.</w:t>
      </w:r>
    </w:p>
  </w:footnote>
  <w:footnote w:id="4">
    <w:p w:rsidR="00C77095" w:rsidRDefault="00C770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Corporations Rules r 2.4(2).</w:t>
      </w:r>
    </w:p>
  </w:footnote>
  <w:footnote w:id="5">
    <w:p w:rsidR="00C77095" w:rsidRPr="00D31B13" w:rsidRDefault="00C77095" w:rsidP="002E2CA0">
      <w:pPr>
        <w:pStyle w:val="FootnoteText"/>
        <w:ind w:left="720" w:hanging="720"/>
      </w:pPr>
      <w:r>
        <w:rPr>
          <w:rStyle w:val="FootnoteReference"/>
        </w:rPr>
        <w:footnoteRef/>
      </w:r>
      <w:r>
        <w:t xml:space="preserve"> </w:t>
      </w:r>
      <w:r>
        <w:tab/>
        <w:t>See schedules 4 and 6 to Practice Note No. 10 of 2011 for the form of standard valuation and mediation orders.</w:t>
      </w:r>
    </w:p>
  </w:footnote>
  <w:footnote w:id="6">
    <w:p w:rsidR="00C77095" w:rsidRDefault="00C77095">
      <w:pPr>
        <w:pStyle w:val="FootnoteText"/>
      </w:pPr>
      <w:r>
        <w:rPr>
          <w:rStyle w:val="FootnoteReference"/>
        </w:rPr>
        <w:footnoteRef/>
      </w:r>
      <w:r>
        <w:t xml:space="preserve"> See Order 28A of the </w:t>
      </w:r>
      <w:r w:rsidRPr="00232227">
        <w:rPr>
          <w:i/>
        </w:rPr>
        <w:t>Supreme Court (General Civil Procedure) Rules 2005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528E6"/>
    <w:multiLevelType w:val="hybridMultilevel"/>
    <w:tmpl w:val="7258FFD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45"/>
    <w:rsid w:val="000B1E01"/>
    <w:rsid w:val="001111F5"/>
    <w:rsid w:val="00117B26"/>
    <w:rsid w:val="00132567"/>
    <w:rsid w:val="00137CB6"/>
    <w:rsid w:val="00171D34"/>
    <w:rsid w:val="001921E5"/>
    <w:rsid w:val="0020705E"/>
    <w:rsid w:val="00232227"/>
    <w:rsid w:val="002373F4"/>
    <w:rsid w:val="0029318B"/>
    <w:rsid w:val="00296E52"/>
    <w:rsid w:val="002E2CA0"/>
    <w:rsid w:val="002F6B3C"/>
    <w:rsid w:val="00303EB7"/>
    <w:rsid w:val="0031172D"/>
    <w:rsid w:val="003E7C35"/>
    <w:rsid w:val="003F08C1"/>
    <w:rsid w:val="00417117"/>
    <w:rsid w:val="00463251"/>
    <w:rsid w:val="00470A53"/>
    <w:rsid w:val="00486E00"/>
    <w:rsid w:val="004A3F95"/>
    <w:rsid w:val="004A70F2"/>
    <w:rsid w:val="004B61D9"/>
    <w:rsid w:val="004D2041"/>
    <w:rsid w:val="004F14D9"/>
    <w:rsid w:val="004F44CA"/>
    <w:rsid w:val="005337CC"/>
    <w:rsid w:val="00585E85"/>
    <w:rsid w:val="00595ABE"/>
    <w:rsid w:val="005E5026"/>
    <w:rsid w:val="00614C40"/>
    <w:rsid w:val="00671E98"/>
    <w:rsid w:val="00696719"/>
    <w:rsid w:val="006A23C5"/>
    <w:rsid w:val="006C4D67"/>
    <w:rsid w:val="006F70F2"/>
    <w:rsid w:val="007305D5"/>
    <w:rsid w:val="00743C3F"/>
    <w:rsid w:val="007B2235"/>
    <w:rsid w:val="007B66C5"/>
    <w:rsid w:val="007B6B7E"/>
    <w:rsid w:val="007D153B"/>
    <w:rsid w:val="007E07C9"/>
    <w:rsid w:val="007E3745"/>
    <w:rsid w:val="00806CA9"/>
    <w:rsid w:val="008165A8"/>
    <w:rsid w:val="00863307"/>
    <w:rsid w:val="00872707"/>
    <w:rsid w:val="008A66DA"/>
    <w:rsid w:val="008B21C0"/>
    <w:rsid w:val="008C61B9"/>
    <w:rsid w:val="008C64CA"/>
    <w:rsid w:val="00942147"/>
    <w:rsid w:val="009453B6"/>
    <w:rsid w:val="00960D33"/>
    <w:rsid w:val="009B7AEA"/>
    <w:rsid w:val="00A064B8"/>
    <w:rsid w:val="00A417AD"/>
    <w:rsid w:val="00A61752"/>
    <w:rsid w:val="00AC0303"/>
    <w:rsid w:val="00AC0830"/>
    <w:rsid w:val="00AC4CBC"/>
    <w:rsid w:val="00AD1DF1"/>
    <w:rsid w:val="00AF4E7A"/>
    <w:rsid w:val="00B25714"/>
    <w:rsid w:val="00B2641C"/>
    <w:rsid w:val="00B5101C"/>
    <w:rsid w:val="00BE19EA"/>
    <w:rsid w:val="00C101BC"/>
    <w:rsid w:val="00C31145"/>
    <w:rsid w:val="00C43E17"/>
    <w:rsid w:val="00C50146"/>
    <w:rsid w:val="00C77095"/>
    <w:rsid w:val="00CD3CF2"/>
    <w:rsid w:val="00D31B13"/>
    <w:rsid w:val="00DD24A0"/>
    <w:rsid w:val="00DE4C76"/>
    <w:rsid w:val="00DF03AA"/>
    <w:rsid w:val="00E13394"/>
    <w:rsid w:val="00E16085"/>
    <w:rsid w:val="00E3365A"/>
    <w:rsid w:val="00E359FC"/>
    <w:rsid w:val="00E449F5"/>
    <w:rsid w:val="00E525BF"/>
    <w:rsid w:val="00E563A2"/>
    <w:rsid w:val="00EE0FF6"/>
    <w:rsid w:val="00F17477"/>
    <w:rsid w:val="00F65EAE"/>
    <w:rsid w:val="00F86E25"/>
    <w:rsid w:val="00FE6521"/>
    <w:rsid w:val="00FF3DAC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31B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C31145"/>
    <w:rPr>
      <w:sz w:val="20"/>
      <w:szCs w:val="20"/>
    </w:rPr>
  </w:style>
  <w:style w:type="character" w:styleId="FootnoteReference">
    <w:name w:val="footnote reference"/>
    <w:semiHidden/>
    <w:rsid w:val="00C31145"/>
    <w:rPr>
      <w:vertAlign w:val="superscript"/>
    </w:rPr>
  </w:style>
  <w:style w:type="paragraph" w:styleId="BalloonText">
    <w:name w:val="Balloon Text"/>
    <w:basedOn w:val="Normal"/>
    <w:semiHidden/>
    <w:rsid w:val="008633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A66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A66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1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31B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C31145"/>
    <w:rPr>
      <w:sz w:val="20"/>
      <w:szCs w:val="20"/>
    </w:rPr>
  </w:style>
  <w:style w:type="character" w:styleId="FootnoteReference">
    <w:name w:val="footnote reference"/>
    <w:semiHidden/>
    <w:rsid w:val="00C31145"/>
    <w:rPr>
      <w:vertAlign w:val="superscript"/>
    </w:rPr>
  </w:style>
  <w:style w:type="paragraph" w:styleId="BalloonText">
    <w:name w:val="Balloon Text"/>
    <w:basedOn w:val="Normal"/>
    <w:semiHidden/>
    <w:rsid w:val="008633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A66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A66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1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CDA6E-041F-42A1-9F6A-D309AA8BF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1090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Note 5 of 2014 Applications under s 233 Corporations Act 2001 oppressive conduct of the affairs of a company </vt:lpstr>
    </vt:vector>
  </TitlesOfParts>
  <Company>Supreme Court of Victoria </Company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Note 5 of 2014 Applications under s 233 Corporations Act 2001 oppressive conduct of the affairs of a company </dc:title>
  <dc:subject/>
  <dc:creator>Supreme Court of Victoria</dc:creator>
  <cp:keywords/>
  <cp:lastModifiedBy>Freya Dougan</cp:lastModifiedBy>
  <cp:revision>2</cp:revision>
  <cp:lastPrinted>2015-07-23T04:49:00Z</cp:lastPrinted>
  <dcterms:created xsi:type="dcterms:W3CDTF">2015-08-28T00:43:00Z</dcterms:created>
  <dcterms:modified xsi:type="dcterms:W3CDTF">2015-08-28T00:43:00Z</dcterms:modified>
</cp:coreProperties>
</file>