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8" w:rsidRDefault="00D75938"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Form 42A</w:t>
      </w:r>
    </w:p>
    <w:p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rsidR="00CD6F47" w:rsidRPr="00CD6F47" w:rsidRDefault="00CD6F47" w:rsidP="00CD6F47">
      <w:pPr>
        <w:suppressLineNumbers w:val="0"/>
        <w:overflowPunct/>
        <w:autoSpaceDE/>
        <w:adjustRightInd/>
        <w:spacing w:before="0"/>
        <w:outlineLvl w:val="0"/>
        <w:rPr>
          <w:rFonts w:ascii="Arial" w:eastAsia="Arial" w:hAnsi="Arial" w:cs="Arial"/>
          <w:color w:val="000000"/>
          <w:sz w:val="22"/>
          <w:szCs w:val="22"/>
        </w:rPr>
      </w:pPr>
      <w:r>
        <w:rPr>
          <w:rFonts w:ascii="Arial" w:eastAsia="Arial" w:hAnsi="Arial" w:cs="Arial"/>
          <w:color w:val="000000"/>
          <w:sz w:val="22"/>
          <w:szCs w:val="22"/>
        </w:rPr>
        <w:t>Rule 42.03(1</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a)</w:t>
      </w:r>
    </w:p>
    <w:p w:rsidR="00CD6F47" w:rsidRDefault="00CD6F47" w:rsidP="00D75938">
      <w:pPr>
        <w:suppressLineNumbers w:val="0"/>
        <w:overflowPunct/>
        <w:autoSpaceDE/>
        <w:autoSpaceDN/>
        <w:adjustRightInd/>
        <w:spacing w:before="0"/>
        <w:outlineLvl w:val="0"/>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rsidR="00D75938" w:rsidRPr="00D75938" w:rsidRDefault="00D75938" w:rsidP="00D75938">
      <w:pPr>
        <w:suppressLineNumbers w:val="0"/>
        <w:overflowPunct/>
        <w:autoSpaceDE/>
        <w:autoSpaceDN/>
        <w:adjustRightInd/>
        <w:spacing w:before="0"/>
        <w:ind w:right="1527"/>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spacing w:before="0"/>
        <w:ind w:left="7200" w:right="1527"/>
        <w:rPr>
          <w:rFonts w:ascii="Arial" w:eastAsia="Arial" w:hAnsi="Arial" w:cs="Arial"/>
          <w:color w:val="000000"/>
          <w:sz w:val="22"/>
          <w:szCs w:val="22"/>
        </w:rPr>
      </w:pPr>
      <w:r w:rsidRPr="00D75938">
        <w:rPr>
          <w:rFonts w:ascii="Arial" w:eastAsia="Arial" w:hAnsi="Arial" w:cs="Arial"/>
          <w:b/>
          <w:color w:val="000000"/>
          <w:sz w:val="22"/>
          <w:szCs w:val="22"/>
        </w:rPr>
        <w:t>No.</w:t>
      </w:r>
      <w:r w:rsidRPr="00D75938">
        <w:rPr>
          <w:rFonts w:ascii="Arial" w:eastAsia="Arial" w:hAnsi="Arial" w:cs="Arial"/>
          <w:color w:val="000000"/>
          <w:sz w:val="22"/>
          <w:szCs w:val="22"/>
        </w:rPr>
        <w:t xml:space="preserve"> S CI               </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w:t>
      </w:r>
      <w:proofErr w:type="spellStart"/>
      <w:r w:rsidRPr="00D75938">
        <w:rPr>
          <w:rFonts w:ascii="Arial" w:eastAsia="Arial" w:hAnsi="Arial" w:cs="Arial"/>
          <w:b/>
          <w:color w:val="000000"/>
          <w:sz w:val="22"/>
          <w:szCs w:val="22"/>
        </w:rPr>
        <w:t>E</w:t>
      </w:r>
      <w:proofErr w:type="spellEnd"/>
      <w:r w:rsidRPr="00D75938">
        <w:rPr>
          <w:rFonts w:ascii="Arial" w:eastAsia="Arial" w:hAnsi="Arial" w:cs="Arial"/>
          <w:b/>
          <w:color w:val="000000"/>
          <w:sz w:val="22"/>
          <w:szCs w:val="22"/>
        </w:rPr>
        <w:t xml:space="preserve"> N </w:t>
      </w: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200" w:firstLine="720"/>
        <w:rPr>
          <w:rFonts w:ascii="Arial" w:eastAsia="Arial" w:hAnsi="Arial" w:cs="Arial"/>
          <w:color w:val="000000"/>
          <w:sz w:val="22"/>
          <w:szCs w:val="22"/>
        </w:rPr>
      </w:pPr>
      <w:r w:rsidRPr="00D75938">
        <w:rPr>
          <w:rFonts w:ascii="Arial" w:eastAsia="Arial" w:hAnsi="Arial" w:cs="Arial"/>
          <w:color w:val="000000"/>
          <w:sz w:val="22"/>
          <w:szCs w:val="22"/>
        </w:rPr>
        <w:t>Plaintiff</w:t>
      </w: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w:t>
      </w:r>
      <w:proofErr w:type="gramStart"/>
      <w:r w:rsidRPr="00D75938">
        <w:rPr>
          <w:rFonts w:ascii="Arial" w:eastAsia="Arial" w:hAnsi="Arial" w:cs="Arial"/>
          <w:color w:val="000000"/>
          <w:sz w:val="22"/>
          <w:szCs w:val="22"/>
        </w:rPr>
        <w:t>and</w:t>
      </w:r>
      <w:proofErr w:type="gramEnd"/>
      <w:r w:rsidRPr="00D75938">
        <w:rPr>
          <w:rFonts w:ascii="Arial" w:eastAsia="Arial" w:hAnsi="Arial" w:cs="Arial"/>
          <w:color w:val="000000"/>
          <w:sz w:val="22"/>
          <w:szCs w:val="22"/>
        </w:rPr>
        <w: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920"/>
        <w:rPr>
          <w:rFonts w:ascii="Arial" w:eastAsia="Arial" w:hAnsi="Arial" w:cs="Arial"/>
          <w:color w:val="000000"/>
          <w:sz w:val="22"/>
          <w:szCs w:val="22"/>
        </w:rPr>
      </w:pPr>
      <w:r w:rsidRPr="00D75938">
        <w:rPr>
          <w:rFonts w:ascii="Arial" w:eastAsia="Arial" w:hAnsi="Arial" w:cs="Arial"/>
          <w:color w:val="000000"/>
          <w:sz w:val="22"/>
          <w:szCs w:val="22"/>
        </w:rPr>
        <w:t>Defendant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851554">
        <w:rPr>
          <w:rFonts w:ascii="Arial" w:eastAsia="Arial" w:hAnsi="Arial" w:cs="Arial"/>
          <w:b/>
          <w:color w:val="000000"/>
          <w:sz w:val="22"/>
          <w:szCs w:val="22"/>
        </w:rPr>
        <w:t xml:space="preserve"> TO ATTEND TO GIVE EVIDENCE</w:t>
      </w:r>
    </w:p>
    <w:p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9E65A2" w:rsidRDefault="009E65A2" w:rsidP="009E65A2">
      <w:pPr>
        <w:pStyle w:val="Default"/>
        <w:spacing w:line="276" w:lineRule="auto"/>
        <w:rPr>
          <w:rFonts w:ascii="Arial" w:hAnsi="Arial" w:cs="Arial"/>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p>
    <w:p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rsidR="000B35FD" w:rsidRDefault="009E65A2" w:rsidP="009E26C7">
      <w:pPr>
        <w:pStyle w:val="Default"/>
        <w:spacing w:line="360" w:lineRule="auto"/>
        <w:rPr>
          <w:rFonts w:ascii="Arial" w:hAnsi="Arial" w:cs="Arial"/>
          <w:sz w:val="22"/>
          <w:szCs w:val="22"/>
        </w:rPr>
      </w:pPr>
      <w:proofErr w:type="gramStart"/>
      <w:r w:rsidRPr="009E65A2">
        <w:rPr>
          <w:rFonts w:ascii="Arial" w:hAnsi="Arial" w:cs="Arial"/>
          <w:sz w:val="22"/>
          <w:szCs w:val="22"/>
        </w:rPr>
        <w:t>of</w:t>
      </w:r>
      <w:proofErr w:type="gramEnd"/>
      <w:r w:rsidRPr="009E65A2">
        <w:rPr>
          <w:rFonts w:ascii="Arial" w:hAnsi="Arial" w:cs="Arial"/>
          <w:sz w:val="22"/>
          <w:szCs w:val="22"/>
        </w:rPr>
        <w:t xml:space="preserve"> [</w:t>
      </w:r>
      <w:r w:rsidRPr="009E65A2">
        <w:rPr>
          <w:rFonts w:ascii="Arial" w:hAnsi="Arial" w:cs="Arial"/>
          <w:i/>
          <w:iCs/>
          <w:sz w:val="22"/>
          <w:szCs w:val="22"/>
        </w:rPr>
        <w:t>address</w:t>
      </w:r>
      <w:r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 xml:space="preserve">YOU ARE ORDERED to attend to give evidence: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rsidR="009E65A2" w:rsidRDefault="009E65A2" w:rsidP="009E65A2">
      <w:pPr>
        <w:pStyle w:val="Default"/>
        <w:spacing w:line="276" w:lineRule="auto"/>
        <w:rPr>
          <w:rFonts w:ascii="Arial" w:hAnsi="Arial" w:cs="Arial"/>
          <w:b/>
          <w:bCs/>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rsidR="009E65A2" w:rsidRDefault="009E65A2" w:rsidP="009E65A2">
      <w:pPr>
        <w:pStyle w:val="Default"/>
        <w:spacing w:line="276" w:lineRule="auto"/>
        <w:rPr>
          <w:rFonts w:ascii="Arial" w:hAnsi="Arial" w:cs="Arial"/>
          <w:sz w:val="22"/>
          <w:szCs w:val="22"/>
        </w:rPr>
      </w:pPr>
    </w:p>
    <w:p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p>
    <w:p w:rsidR="009E26C7" w:rsidRDefault="009E26C7"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rsidR="009E65A2" w:rsidRDefault="009E65A2" w:rsidP="009E65A2">
      <w:pPr>
        <w:pStyle w:val="Default"/>
        <w:spacing w:line="276" w:lineRule="auto"/>
        <w:rPr>
          <w:rFonts w:ascii="Arial" w:hAnsi="Arial" w:cs="Arial"/>
          <w:b/>
          <w:bCs/>
          <w:sz w:val="22"/>
          <w:szCs w:val="22"/>
        </w:rPr>
      </w:pPr>
    </w:p>
    <w:p w:rsidR="009E26C7" w:rsidRDefault="009E26C7" w:rsidP="009E65A2">
      <w:pPr>
        <w:pStyle w:val="Default"/>
        <w:spacing w:line="276" w:lineRule="auto"/>
        <w:rPr>
          <w:rFonts w:ascii="Arial" w:hAnsi="Arial" w:cs="Arial"/>
          <w:b/>
          <w:bCs/>
          <w:sz w:val="22"/>
          <w:szCs w:val="22"/>
        </w:rPr>
      </w:pPr>
    </w:p>
    <w:p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rsidR="00FA78F8" w:rsidRDefault="00FA78F8"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rsidR="000B35FD" w:rsidRDefault="000B35FD" w:rsidP="009E65A2">
      <w:pPr>
        <w:pStyle w:val="Default"/>
        <w:spacing w:line="276" w:lineRule="auto"/>
        <w:rPr>
          <w:rFonts w:ascii="Arial" w:hAnsi="Arial" w:cs="Arial"/>
          <w:b/>
          <w:bCs/>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lastRenderedPageBreak/>
        <w:t>Email:</w:t>
      </w:r>
    </w:p>
    <w:p w:rsidR="00FA78F8" w:rsidRDefault="00FA78F8" w:rsidP="009E26C7">
      <w:pPr>
        <w:pStyle w:val="Default"/>
        <w:spacing w:line="276" w:lineRule="auto"/>
        <w:rPr>
          <w:rFonts w:ascii="Arial" w:hAnsi="Arial" w:cs="Arial"/>
          <w:sz w:val="22"/>
          <w:szCs w:val="22"/>
        </w:rPr>
      </w:pPr>
    </w:p>
    <w:p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rsidR="009E26C7" w:rsidRPr="009E65A2" w:rsidRDefault="009E26C7" w:rsidP="009E26C7">
      <w:pPr>
        <w:pStyle w:val="Default"/>
        <w:spacing w:line="276" w:lineRule="auto"/>
        <w:rPr>
          <w:rFonts w:ascii="Arial" w:hAnsi="Arial" w:cs="Arial"/>
          <w:sz w:val="22"/>
          <w:szCs w:val="22"/>
        </w:rPr>
      </w:pPr>
    </w:p>
    <w:p w:rsidR="009E65A2" w:rsidRPr="009E65A2" w:rsidRDefault="009E26C7" w:rsidP="009E65A2">
      <w:pPr>
        <w:pStyle w:val="Default"/>
        <w:spacing w:line="276" w:lineRule="auto"/>
        <w:rPr>
          <w:rFonts w:ascii="Arial" w:hAnsi="Arial" w:cs="Arial"/>
          <w:sz w:val="22"/>
          <w:szCs w:val="22"/>
        </w:rPr>
      </w:pPr>
      <w:r>
        <w:rPr>
          <w:rFonts w:ascii="Arial" w:hAnsi="Arial" w:cs="Arial"/>
          <w:sz w:val="22"/>
          <w:szCs w:val="22"/>
        </w:rPr>
        <w:t>You are required by this subpoena to attend to give evidence and you must attend as follows unless you receive notice of a later date or time from the issuing party, in which case, the later date or time is substituted:</w:t>
      </w:r>
      <w:r w:rsidR="009E65A2" w:rsidRPr="009E65A2">
        <w:rPr>
          <w:rFonts w:ascii="Arial" w:hAnsi="Arial" w:cs="Arial"/>
          <w:sz w:val="22"/>
          <w:szCs w:val="22"/>
        </w:rPr>
        <w:t xml:space="preserve"> </w:t>
      </w:r>
    </w:p>
    <w:p w:rsidR="000B35FD"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Date: </w:t>
      </w:r>
    </w:p>
    <w:p w:rsidR="000B35FD"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Time: </w:t>
      </w:r>
    </w:p>
    <w:p w:rsidR="000B35FD"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Place: </w:t>
      </w:r>
    </w:p>
    <w:p w:rsidR="000B35FD"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rsidR="000710DF" w:rsidRDefault="000710DF" w:rsidP="005539E5">
      <w:pPr>
        <w:pStyle w:val="Default"/>
        <w:spacing w:after="120" w:line="276" w:lineRule="auto"/>
        <w:jc w:val="center"/>
        <w:rPr>
          <w:rFonts w:ascii="Arial" w:hAnsi="Arial" w:cs="Arial"/>
          <w:b/>
          <w:bCs/>
          <w:sz w:val="22"/>
          <w:szCs w:val="22"/>
        </w:rPr>
      </w:pPr>
    </w:p>
    <w:p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rsidR="000710DF"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Subject to Note 2, you need not comply with the subpoena unless it is served o</w:t>
      </w:r>
      <w:r w:rsidR="006428BC">
        <w:rPr>
          <w:rFonts w:ascii="Arial" w:hAnsi="Arial" w:cs="Arial"/>
          <w:sz w:val="22"/>
          <w:szCs w:val="22"/>
        </w:rPr>
        <w:t>n you on or before the date</w:t>
      </w:r>
      <w:r w:rsidRPr="009267F0">
        <w:rPr>
          <w:rFonts w:ascii="Arial" w:hAnsi="Arial" w:cs="Arial"/>
          <w:sz w:val="22"/>
          <w:szCs w:val="22"/>
        </w:rPr>
        <w:t xml:space="preserve"> specified</w:t>
      </w:r>
      <w:r w:rsidR="006428BC">
        <w:rPr>
          <w:rFonts w:ascii="Arial" w:hAnsi="Arial" w:cs="Arial"/>
          <w:sz w:val="22"/>
          <w:szCs w:val="22"/>
        </w:rPr>
        <w:t xml:space="preserve"> in the subpoena as the last date</w:t>
      </w:r>
      <w:r w:rsidRPr="009267F0">
        <w:rPr>
          <w:rFonts w:ascii="Arial" w:hAnsi="Arial" w:cs="Arial"/>
          <w:sz w:val="22"/>
          <w:szCs w:val="22"/>
        </w:rPr>
        <w:t xml:space="preserve"> for service of the subpoena.</w:t>
      </w:r>
    </w:p>
    <w:p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requirements, if you have, by the last d</w:t>
      </w:r>
      <w:r w:rsidR="00091CF7">
        <w:rPr>
          <w:rFonts w:ascii="Arial" w:hAnsi="Arial" w:cs="Arial"/>
          <w:sz w:val="22"/>
          <w:szCs w:val="22"/>
        </w:rPr>
        <w:t>ate</w:t>
      </w:r>
      <w:r w:rsidRPr="009267F0">
        <w:rPr>
          <w:rFonts w:ascii="Arial" w:hAnsi="Arial" w:cs="Arial"/>
          <w:sz w:val="22"/>
          <w:szCs w:val="22"/>
        </w:rPr>
        <w:t xml:space="preserve"> for service of the subpoena, actual knowledge of the subpoena and of its requirements.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sidR="000710DF">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sidR="000710DF">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rsidR="00A8525A" w:rsidRDefault="009E65A2" w:rsidP="00A8525A">
      <w:pPr>
        <w:pStyle w:val="Default"/>
        <w:numPr>
          <w:ilvl w:val="0"/>
          <w:numId w:val="16"/>
        </w:numPr>
        <w:spacing w:after="120" w:line="276" w:lineRule="auto"/>
        <w:ind w:left="1116" w:hanging="390"/>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rsidR="00FA78F8" w:rsidRPr="00553056" w:rsidRDefault="009E65A2" w:rsidP="005539E5">
      <w:pPr>
        <w:pStyle w:val="Default"/>
        <w:numPr>
          <w:ilvl w:val="0"/>
          <w:numId w:val="16"/>
        </w:numPr>
        <w:spacing w:after="120" w:line="276" w:lineRule="auto"/>
        <w:ind w:left="1116" w:hanging="390"/>
        <w:rPr>
          <w:rFonts w:ascii="Arial" w:hAnsi="Arial" w:cs="Arial"/>
          <w:sz w:val="22"/>
          <w:szCs w:val="22"/>
        </w:rPr>
      </w:pPr>
      <w:proofErr w:type="gramStart"/>
      <w:r w:rsidRPr="00A8525A">
        <w:rPr>
          <w:rFonts w:ascii="Arial" w:hAnsi="Arial" w:cs="Arial"/>
          <w:sz w:val="22"/>
          <w:szCs w:val="22"/>
        </w:rPr>
        <w:t>f</w:t>
      </w:r>
      <w:r w:rsidR="00067A53">
        <w:rPr>
          <w:rFonts w:ascii="Arial" w:hAnsi="Arial" w:cs="Arial"/>
          <w:sz w:val="22"/>
          <w:szCs w:val="22"/>
        </w:rPr>
        <w:t>or</w:t>
      </w:r>
      <w:proofErr w:type="gramEnd"/>
      <w:r w:rsidR="00067A53">
        <w:rPr>
          <w:rFonts w:ascii="Arial" w:hAnsi="Arial" w:cs="Arial"/>
          <w:sz w:val="22"/>
          <w:szCs w:val="22"/>
        </w:rPr>
        <w:t xml:space="preserve"> an order with respect to any</w:t>
      </w:r>
      <w:r w:rsidRPr="00A8525A">
        <w:rPr>
          <w:rFonts w:ascii="Arial" w:hAnsi="Arial" w:cs="Arial"/>
          <w:sz w:val="22"/>
          <w:szCs w:val="22"/>
        </w:rPr>
        <w:t xml:space="preserve"> claim</w:t>
      </w:r>
      <w:r w:rsidR="00D82674">
        <w:rPr>
          <w:rFonts w:ascii="Arial" w:hAnsi="Arial" w:cs="Arial"/>
          <w:sz w:val="22"/>
          <w:szCs w:val="22"/>
        </w:rPr>
        <w:t xml:space="preserve"> you may have</w:t>
      </w:r>
      <w:r w:rsidRPr="00A8525A">
        <w:rPr>
          <w:rFonts w:ascii="Arial" w:hAnsi="Arial" w:cs="Arial"/>
          <w:sz w:val="22"/>
          <w:szCs w:val="22"/>
        </w:rPr>
        <w:t xml:space="preserve"> for privilege, public interest immunity or confidentiality in relation to any </w:t>
      </w:r>
      <w:r w:rsidR="000710DF" w:rsidRPr="00A8525A">
        <w:rPr>
          <w:rFonts w:ascii="Arial" w:hAnsi="Arial" w:cs="Arial"/>
          <w:sz w:val="22"/>
          <w:szCs w:val="22"/>
        </w:rPr>
        <w:t>evidence</w:t>
      </w:r>
      <w:r w:rsidRPr="00A8525A">
        <w:rPr>
          <w:rFonts w:ascii="Arial" w:hAnsi="Arial" w:cs="Arial"/>
          <w:sz w:val="22"/>
          <w:szCs w:val="22"/>
        </w:rPr>
        <w:t xml:space="preserve"> </w:t>
      </w:r>
      <w:r w:rsidR="000710DF" w:rsidRPr="00A8525A">
        <w:rPr>
          <w:rFonts w:ascii="Arial" w:hAnsi="Arial" w:cs="Arial"/>
          <w:sz w:val="22"/>
          <w:szCs w:val="22"/>
        </w:rPr>
        <w:t xml:space="preserve">you may be required to give under the subpoena. </w:t>
      </w:r>
      <w:r w:rsidRPr="00A8525A">
        <w:rPr>
          <w:rFonts w:ascii="Arial" w:hAnsi="Arial" w:cs="Arial"/>
          <w:sz w:val="22"/>
          <w:szCs w:val="22"/>
        </w:rPr>
        <w:t xml:space="preserve">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rsidR="006917DB" w:rsidRPr="00FA78F8" w:rsidRDefault="009E65A2" w:rsidP="006917DB">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sidR="00D82674">
        <w:rPr>
          <w:rFonts w:ascii="Arial" w:hAnsi="Arial" w:cs="Arial"/>
          <w:sz w:val="22"/>
          <w:szCs w:val="22"/>
        </w:rPr>
        <w:t xml:space="preserve">ss's expenses) in </w:t>
      </w:r>
      <w:r w:rsidR="00D82674">
        <w:rPr>
          <w:rFonts w:ascii="Arial" w:hAnsi="Arial" w:cs="Arial"/>
          <w:sz w:val="22"/>
          <w:szCs w:val="22"/>
        </w:rPr>
        <w:lastRenderedPageBreak/>
        <w:t>respect of any</w:t>
      </w:r>
      <w:r w:rsidRPr="009E65A2">
        <w:rPr>
          <w:rFonts w:ascii="Arial" w:hAnsi="Arial" w:cs="Arial"/>
          <w:sz w:val="22"/>
          <w:szCs w:val="22"/>
        </w:rPr>
        <w:t xml:space="preserve"> loss or expense, including </w:t>
      </w:r>
      <w:r w:rsidR="00D82674">
        <w:rPr>
          <w:rFonts w:ascii="Arial" w:hAnsi="Arial" w:cs="Arial"/>
          <w:sz w:val="22"/>
          <w:szCs w:val="22"/>
        </w:rPr>
        <w:t xml:space="preserve">any </w:t>
      </w:r>
      <w:r w:rsidRPr="009E65A2">
        <w:rPr>
          <w:rFonts w:ascii="Arial" w:hAnsi="Arial" w:cs="Arial"/>
          <w:sz w:val="22"/>
          <w:szCs w:val="22"/>
        </w:rPr>
        <w:t>legal costs</w:t>
      </w:r>
      <w:r w:rsidR="00615053">
        <w:rPr>
          <w:rFonts w:ascii="Arial" w:hAnsi="Arial" w:cs="Arial"/>
          <w:sz w:val="22"/>
          <w:szCs w:val="22"/>
        </w:rPr>
        <w:t>,</w:t>
      </w:r>
      <w:r w:rsidRPr="009E65A2">
        <w:rPr>
          <w:rFonts w:ascii="Arial" w:hAnsi="Arial" w:cs="Arial"/>
          <w:sz w:val="22"/>
          <w:szCs w:val="22"/>
        </w:rPr>
        <w:t xml:space="preserve"> reasonably incurred in complying with the subpoena.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Failure to comply with a subpoena without lawful excuse is a</w:t>
      </w:r>
      <w:bookmarkStart w:id="11" w:name="_GoBack"/>
      <w:bookmarkEnd w:id="11"/>
      <w:r w:rsidRPr="009E65A2">
        <w:rPr>
          <w:rFonts w:ascii="Arial" w:hAnsi="Arial" w:cs="Arial"/>
          <w:sz w:val="22"/>
          <w:szCs w:val="22"/>
        </w:rPr>
        <w:t xml:space="preserve"> contempt of court and may be dealt with accordingly. </w:t>
      </w:r>
    </w:p>
    <w:p w:rsidR="009E65A2" w:rsidRPr="009267F0" w:rsidRDefault="006917DB"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7</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0"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3"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
  </w:num>
  <w:num w:numId="6">
    <w:abstractNumId w:val="6"/>
  </w:num>
  <w:num w:numId="7">
    <w:abstractNumId w:val="13"/>
  </w:num>
  <w:num w:numId="8">
    <w:abstractNumId w:val="8"/>
  </w:num>
  <w:num w:numId="9">
    <w:abstractNumId w:val="1"/>
  </w:num>
  <w:num w:numId="10">
    <w:abstractNumId w:val="4"/>
  </w:num>
  <w:num w:numId="11">
    <w:abstractNumId w:val="7"/>
  </w:num>
  <w:num w:numId="12">
    <w:abstractNumId w:val="10"/>
  </w:num>
  <w:num w:numId="13">
    <w:abstractNumId w:val="3"/>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67A53"/>
    <w:rsid w:val="000710DF"/>
    <w:rsid w:val="00091CF7"/>
    <w:rsid w:val="000B35FD"/>
    <w:rsid w:val="002F7E91"/>
    <w:rsid w:val="004B11D1"/>
    <w:rsid w:val="004F0C4D"/>
    <w:rsid w:val="00553056"/>
    <w:rsid w:val="005539E5"/>
    <w:rsid w:val="005A0415"/>
    <w:rsid w:val="005F5D62"/>
    <w:rsid w:val="00615053"/>
    <w:rsid w:val="006428BC"/>
    <w:rsid w:val="006917DB"/>
    <w:rsid w:val="00851554"/>
    <w:rsid w:val="009267F0"/>
    <w:rsid w:val="009E26C7"/>
    <w:rsid w:val="009E65A2"/>
    <w:rsid w:val="00A30AEF"/>
    <w:rsid w:val="00A8525A"/>
    <w:rsid w:val="00AF34AE"/>
    <w:rsid w:val="00B52778"/>
    <w:rsid w:val="00CD6F47"/>
    <w:rsid w:val="00CE09D9"/>
    <w:rsid w:val="00D26314"/>
    <w:rsid w:val="00D75938"/>
    <w:rsid w:val="00D82674"/>
    <w:rsid w:val="00FA29B0"/>
    <w:rsid w:val="00FA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B90499-8503-451A-8D04-E8669066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8353">
      <w:bodyDiv w:val="1"/>
      <w:marLeft w:val="0"/>
      <w:marRight w:val="0"/>
      <w:marTop w:val="0"/>
      <w:marBottom w:val="0"/>
      <w:divBdr>
        <w:top w:val="none" w:sz="0" w:space="0" w:color="auto"/>
        <w:left w:val="none" w:sz="0" w:space="0" w:color="auto"/>
        <w:bottom w:val="none" w:sz="0" w:space="0" w:color="auto"/>
        <w:right w:val="none" w:sz="0" w:space="0" w:color="auto"/>
      </w:divBdr>
    </w:div>
    <w:div w:id="1247688605">
      <w:bodyDiv w:val="1"/>
      <w:marLeft w:val="0"/>
      <w:marRight w:val="0"/>
      <w:marTop w:val="0"/>
      <w:marBottom w:val="0"/>
      <w:divBdr>
        <w:top w:val="none" w:sz="0" w:space="0" w:color="auto"/>
        <w:left w:val="none" w:sz="0" w:space="0" w:color="auto"/>
        <w:bottom w:val="none" w:sz="0" w:space="0" w:color="auto"/>
        <w:right w:val="none" w:sz="0" w:space="0" w:color="auto"/>
      </w:divBdr>
    </w:div>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88B022E4.dotm</Template>
  <TotalTime>10</TotalTime>
  <Pages>3</Pages>
  <Words>584</Words>
  <Characters>2964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FORM 42A</vt:lpstr>
    </vt:vector>
  </TitlesOfParts>
  <Company>Dept. of Justice Victoria</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42A</dc:title>
  <dc:subject/>
  <dc:creator>Supreme Court of Victoria</dc:creator>
  <cp:keywords/>
  <dc:description/>
  <cp:lastModifiedBy>Belinda Harvey</cp:lastModifiedBy>
  <cp:revision>14</cp:revision>
  <dcterms:created xsi:type="dcterms:W3CDTF">2017-09-26T07:09:00Z</dcterms:created>
  <dcterms:modified xsi:type="dcterms:W3CDTF">2017-10-06T00:55:00Z</dcterms:modified>
</cp:coreProperties>
</file>