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2B" w:rsidRPr="0004766B" w:rsidRDefault="004C6947" w:rsidP="00971E25">
      <w:pPr>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181100" cy="1181100"/>
            <wp:effectExtent l="0" t="0" r="0" b="0"/>
            <wp:docPr id="1" name="Picture 1" descr="SCV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RGB_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D9702B" w:rsidRPr="0004766B" w:rsidRDefault="00D9702B" w:rsidP="00971E25">
      <w:pPr>
        <w:rPr>
          <w:rFonts w:ascii="Arial" w:hAnsi="Arial" w:cs="Arial"/>
          <w:sz w:val="22"/>
          <w:szCs w:val="22"/>
        </w:rPr>
      </w:pPr>
    </w:p>
    <w:p w:rsidR="00D9702B" w:rsidRPr="0004766B" w:rsidRDefault="00D9702B" w:rsidP="00971E25">
      <w:pPr>
        <w:jc w:val="center"/>
        <w:rPr>
          <w:rFonts w:ascii="Arial" w:hAnsi="Arial" w:cs="Arial"/>
          <w:b/>
          <w:sz w:val="22"/>
          <w:szCs w:val="22"/>
        </w:rPr>
      </w:pPr>
      <w:r w:rsidRPr="0004766B">
        <w:rPr>
          <w:rFonts w:ascii="Arial" w:hAnsi="Arial" w:cs="Arial"/>
          <w:b/>
          <w:sz w:val="22"/>
          <w:szCs w:val="22"/>
        </w:rPr>
        <w:t>COURT OF APPEAL</w:t>
      </w:r>
    </w:p>
    <w:p w:rsidR="00D9702B" w:rsidRPr="0004766B" w:rsidRDefault="00D9702B" w:rsidP="00971E25">
      <w:pPr>
        <w:jc w:val="center"/>
        <w:rPr>
          <w:rFonts w:ascii="Arial" w:hAnsi="Arial" w:cs="Arial"/>
          <w:b/>
          <w:sz w:val="22"/>
          <w:szCs w:val="22"/>
        </w:rPr>
      </w:pPr>
      <w:r w:rsidRPr="0004766B">
        <w:rPr>
          <w:rFonts w:ascii="Arial" w:hAnsi="Arial" w:cs="Arial"/>
          <w:b/>
          <w:sz w:val="22"/>
          <w:szCs w:val="22"/>
        </w:rPr>
        <w:t>CRIMINAL APPEALS</w:t>
      </w:r>
      <w:r>
        <w:rPr>
          <w:rFonts w:ascii="Arial" w:hAnsi="Arial" w:cs="Arial"/>
          <w:b/>
          <w:sz w:val="22"/>
          <w:szCs w:val="22"/>
        </w:rPr>
        <w:t xml:space="preserve"> - MAY</w:t>
      </w:r>
    </w:p>
    <w:p w:rsidR="00D9702B" w:rsidRPr="0004766B" w:rsidRDefault="00D9702B" w:rsidP="00971E25">
      <w:pPr>
        <w:rPr>
          <w:rFonts w:ascii="Arial" w:hAnsi="Arial" w:cs="Arial"/>
          <w:sz w:val="22"/>
          <w:szCs w:val="22"/>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1701"/>
        <w:gridCol w:w="1559"/>
        <w:gridCol w:w="1418"/>
        <w:gridCol w:w="1527"/>
        <w:gridCol w:w="1686"/>
        <w:gridCol w:w="1554"/>
        <w:gridCol w:w="1440"/>
      </w:tblGrid>
      <w:tr w:rsidR="00D9702B" w:rsidRPr="0004766B" w:rsidTr="002B19E8">
        <w:trPr>
          <w:cantSplit/>
          <w:tblHeader/>
        </w:trPr>
        <w:tc>
          <w:tcPr>
            <w:tcW w:w="1951"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Case</w:t>
            </w:r>
          </w:p>
        </w:tc>
        <w:tc>
          <w:tcPr>
            <w:tcW w:w="2268"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Primary charge(s)</w:t>
            </w:r>
          </w:p>
          <w:p w:rsidR="00D9702B" w:rsidRPr="002B19E8" w:rsidRDefault="00D9702B" w:rsidP="002B19E8">
            <w:pPr>
              <w:spacing w:before="40" w:after="40" w:line="24" w:lineRule="atLeast"/>
              <w:rPr>
                <w:rFonts w:ascii="Arial" w:hAnsi="Arial" w:cs="Arial"/>
                <w:b/>
              </w:rPr>
            </w:pPr>
          </w:p>
        </w:tc>
        <w:tc>
          <w:tcPr>
            <w:tcW w:w="1701"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Sentence</w:t>
            </w:r>
          </w:p>
        </w:tc>
        <w:tc>
          <w:tcPr>
            <w:tcW w:w="1559"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Nature of appeal</w:t>
            </w:r>
          </w:p>
        </w:tc>
        <w:tc>
          <w:tcPr>
            <w:tcW w:w="1418"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Outcome of appeal</w:t>
            </w:r>
          </w:p>
          <w:p w:rsidR="00D9702B" w:rsidRPr="002B19E8" w:rsidRDefault="00D9702B" w:rsidP="002B19E8">
            <w:pPr>
              <w:spacing w:before="40" w:after="40" w:line="24" w:lineRule="atLeast"/>
              <w:rPr>
                <w:rFonts w:ascii="Arial" w:hAnsi="Arial" w:cs="Arial"/>
                <w:b/>
              </w:rPr>
            </w:pPr>
          </w:p>
        </w:tc>
        <w:tc>
          <w:tcPr>
            <w:tcW w:w="1527"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Successful ground (if any)</w:t>
            </w:r>
          </w:p>
        </w:tc>
        <w:tc>
          <w:tcPr>
            <w:tcW w:w="1686"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New sentence (if any)</w:t>
            </w:r>
          </w:p>
        </w:tc>
        <w:tc>
          <w:tcPr>
            <w:tcW w:w="1554"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Date of judgment</w:t>
            </w:r>
          </w:p>
          <w:p w:rsidR="00D9702B" w:rsidRPr="002B19E8" w:rsidRDefault="00D9702B" w:rsidP="002B19E8">
            <w:pPr>
              <w:spacing w:before="40" w:after="40" w:line="24" w:lineRule="atLeast"/>
              <w:rPr>
                <w:rFonts w:ascii="Arial" w:hAnsi="Arial" w:cs="Arial"/>
                <w:b/>
              </w:rPr>
            </w:pPr>
          </w:p>
        </w:tc>
        <w:tc>
          <w:tcPr>
            <w:tcW w:w="1440"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Bench</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McDonald v the Queen</w:t>
            </w:r>
            <w:r w:rsidRPr="002B19E8">
              <w:rPr>
                <w:rFonts w:ascii="Arial" w:hAnsi="Arial" w:cs="Arial"/>
                <w:sz w:val="22"/>
                <w:szCs w:val="22"/>
              </w:rPr>
              <w:t xml:space="preserve"> [2014] VSCA 80</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maintaining a sexual relationship with a child under 16 (three charges);</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possessing child pornography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11 years and six months’ imprisonment, non-parole period of nine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 and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Neave, Weinberg and Coghlan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 xml:space="preserve">Monaghan v the Queen </w:t>
            </w:r>
            <w:r w:rsidRPr="002B19E8">
              <w:rPr>
                <w:rFonts w:ascii="Arial" w:hAnsi="Arial" w:cs="Arial"/>
                <w:sz w:val="22"/>
                <w:szCs w:val="22"/>
              </w:rPr>
              <w:t>[2014] VSCA 82</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theft (two charges), burglary (one charge), armed robbery (one charge) and assault of a police officer in due execution of his duty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Five years and nine months’ imprisonment, non-parole period of three years and nine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Fresh evidence (appellant’s impaired mental functioning) not available to sentencing judge</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Five years’ imprisonment with a non-parole period of three years and six months</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Jose v the Queen </w:t>
            </w:r>
            <w:r w:rsidRPr="002B19E8">
              <w:rPr>
                <w:rFonts w:ascii="Arial" w:hAnsi="Arial" w:cs="Arial"/>
                <w:sz w:val="22"/>
                <w:szCs w:val="22"/>
              </w:rPr>
              <w:t>[2014] VSCA 90</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aggravated burglary (one charge) and intentionally causing serious injury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Six years and three months’ imprisonment, non-parole period of four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p w:rsidR="00D9702B" w:rsidRPr="002B19E8" w:rsidRDefault="00D9702B" w:rsidP="002B19E8">
            <w:pPr>
              <w:spacing w:line="288" w:lineRule="auto"/>
              <w:jc w:val="center"/>
              <w:rPr>
                <w:rFonts w:ascii="Arial" w:hAnsi="Arial" w:cs="Arial"/>
              </w:rPr>
            </w:pP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6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Redlich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Pasznyk v the Queen </w:t>
            </w:r>
            <w:r w:rsidRPr="002B19E8">
              <w:rPr>
                <w:rFonts w:ascii="Arial" w:hAnsi="Arial" w:cs="Arial"/>
                <w:sz w:val="22"/>
                <w:szCs w:val="22"/>
              </w:rPr>
              <w:t>[2014] VSCA 87</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culpable driving causing death (one charge) and driving a motor vehicle while disqualified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10 years and six months’ imprisonment, non-parole period of eight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8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Redlich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Avery v the Queen </w:t>
            </w:r>
            <w:r w:rsidRPr="002B19E8">
              <w:rPr>
                <w:rFonts w:ascii="Arial" w:hAnsi="Arial" w:cs="Arial"/>
                <w:sz w:val="22"/>
                <w:szCs w:val="22"/>
              </w:rPr>
              <w:t>[2014] VSCA 86</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 xml:space="preserve">Convicted of sexual penetration against a child under 16 (three charges) </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Five years’ imprisonment, non-parole period of three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 and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9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Warren CJ, Redlich and Weinberg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 xml:space="preserve">Haidari v the Queen </w:t>
            </w:r>
            <w:r w:rsidRPr="002B19E8">
              <w:rPr>
                <w:rFonts w:ascii="Arial" w:hAnsi="Arial" w:cs="Arial"/>
                <w:sz w:val="22"/>
                <w:szCs w:val="22"/>
              </w:rPr>
              <w:t>[2014] VSCA 91</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people smuggling (one charge), organising and bringing groups of non-citizens into Australia (one charge), aggravated people smuggling (one charge) and importation of a marketable quantity of a border controlled drug (methamphetamine,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11 years and six months’ imprisonment, non-parole period of eight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Application for an extension of time to 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9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Weinberg and Santamaria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Patrick (a pseudonym) v the Queen </w:t>
            </w:r>
            <w:r w:rsidRPr="002B19E8">
              <w:rPr>
                <w:rFonts w:ascii="Arial" w:hAnsi="Arial" w:cs="Arial"/>
                <w:sz w:val="22"/>
                <w:szCs w:val="22"/>
              </w:rPr>
              <w:t>[2014] VSCA 89</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indecent assault (six charges) and gross indecency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Six years and three months’ imprisonment, non-parole period of four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14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Neave and Tate JJA and Sifris AJA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lastRenderedPageBreak/>
              <w:t>Dao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Tran v the Queen</w:t>
            </w:r>
            <w:r w:rsidRPr="002B19E8">
              <w:rPr>
                <w:rFonts w:ascii="Arial" w:hAnsi="Arial" w:cs="Arial"/>
                <w:sz w:val="22"/>
                <w:szCs w:val="22"/>
              </w:rPr>
              <w:t xml:space="preserve"> [2014] VSCA 93</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Dao</w:t>
            </w:r>
            <w:r w:rsidRPr="002B19E8">
              <w:rPr>
                <w:rFonts w:ascii="Arial" w:hAnsi="Arial" w:cs="Arial"/>
                <w:sz w:val="22"/>
                <w:szCs w:val="22"/>
              </w:rPr>
              <w:t>: Pleaded guilty to trafficking in a large commercial quantity of a drug of dependence (heroin and methyl amphetamine,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18 years’ imprisonment, non-parole period of 13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14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Redlich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t>Dao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Tran v the Queen</w:t>
            </w:r>
            <w:r w:rsidRPr="002B19E8">
              <w:rPr>
                <w:rFonts w:ascii="Arial" w:hAnsi="Arial" w:cs="Arial"/>
                <w:sz w:val="22"/>
                <w:szCs w:val="22"/>
              </w:rPr>
              <w:t xml:space="preserve"> [2014] VSCA 93</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Tran</w:t>
            </w:r>
            <w:r w:rsidRPr="002B19E8">
              <w:rPr>
                <w:rFonts w:ascii="Arial" w:hAnsi="Arial" w:cs="Arial"/>
                <w:sz w:val="22"/>
                <w:szCs w:val="22"/>
              </w:rPr>
              <w:t>: Pleaded guilty to trafficking in a large commercial quantity of a drug of dependence (heroin and methyl amphetamine,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b/>
              </w:rPr>
            </w:pPr>
            <w:r w:rsidRPr="002B19E8">
              <w:rPr>
                <w:rFonts w:ascii="Arial" w:hAnsi="Arial" w:cs="Arial"/>
                <w:sz w:val="22"/>
                <w:szCs w:val="22"/>
              </w:rPr>
              <w:t>18 years’ imprisonment,non-parole period of 13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14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Redlich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O’Connor v the Queen </w:t>
            </w:r>
            <w:r w:rsidRPr="002B19E8">
              <w:rPr>
                <w:rFonts w:ascii="Arial" w:hAnsi="Arial" w:cs="Arial"/>
                <w:sz w:val="22"/>
                <w:szCs w:val="22"/>
              </w:rPr>
              <w:t>[2014] VSCA 108</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aggravated burglary (one charge), recklessly causing injury (two charges) and criminal damage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Four years and six months’ imprisonment,non-parole period of two years and eight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19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P, Weinberg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O’Brien (a pseudonym) v the Queen</w:t>
            </w:r>
            <w:r w:rsidRPr="002B19E8">
              <w:rPr>
                <w:rFonts w:ascii="Arial" w:hAnsi="Arial" w:cs="Arial"/>
                <w:sz w:val="22"/>
                <w:szCs w:val="22"/>
              </w:rPr>
              <w:t xml:space="preserve"> [2014] VSCA 94</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sexual penetration of a child under the age of 16 (one charge) and indecent act with a child under the age of 16 (three charges)</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Four years’ imprisonment,non-parole period of two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 and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 allowed;</w:t>
            </w:r>
          </w:p>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 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Failure to take delay into account as a mitigating factor</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Three years’ imprisonment with a non-parole period of 18 months</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21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Taleb v the Queen </w:t>
            </w:r>
            <w:r w:rsidRPr="002B19E8">
              <w:rPr>
                <w:rFonts w:ascii="Arial" w:hAnsi="Arial" w:cs="Arial"/>
                <w:sz w:val="22"/>
                <w:szCs w:val="22"/>
              </w:rPr>
              <w:t>[2014] VSCA 96</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trafficking in a commercial quantity of a drug of dependence (amphetamine,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Two years and nine months’ imprisonment, non-parole period of one year and six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22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Neave and Weinberg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Pasinis v the Queen </w:t>
            </w:r>
            <w:r w:rsidRPr="002B19E8">
              <w:rPr>
                <w:rFonts w:ascii="Arial" w:hAnsi="Arial" w:cs="Arial"/>
                <w:sz w:val="22"/>
                <w:szCs w:val="22"/>
              </w:rPr>
              <w:t>[2014] VSCA 97</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intentionally causing serious injury (two charges)</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Eight years’ imprisonment, non-parole period of six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22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Neave JA and Kyrou AJA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 xml:space="preserve">Haddara v the Queen </w:t>
            </w:r>
            <w:r w:rsidRPr="002B19E8">
              <w:rPr>
                <w:rFonts w:ascii="Arial" w:hAnsi="Arial" w:cs="Arial"/>
                <w:sz w:val="22"/>
                <w:szCs w:val="22"/>
              </w:rPr>
              <w:t>[2014] VSCA 100</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intentionally causing serious injury (one charge) and reckless conduct endangering a person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Eight years and six months’ imprisonment,non-parole period of five years and four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27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Weinberg and Priest JJA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Kumar v the Queen </w:t>
            </w:r>
            <w:r w:rsidRPr="002B19E8">
              <w:rPr>
                <w:rFonts w:ascii="Arial" w:hAnsi="Arial" w:cs="Arial"/>
                <w:sz w:val="22"/>
                <w:szCs w:val="22"/>
              </w:rPr>
              <w:t>[2014] VSCA 102</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rape (eight charges), sexual penetration by a worker at a facility of a person with a cognitive impairment (one charge), indecent act by a worker at a facility of a person with a cognitive impairment (one charge) and indecent assault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18 years’ imprisonment, non-parole period of 15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Application for an extension to 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27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and Redlich JJA and Almond AJA</w:t>
            </w:r>
          </w:p>
        </w:tc>
      </w:tr>
      <w:tr w:rsidR="00D9702B" w:rsidRPr="0004766B" w:rsidTr="002B19E8">
        <w:trPr>
          <w:cantSplit/>
        </w:trPr>
        <w:tc>
          <w:tcPr>
            <w:tcW w:w="195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 xml:space="preserve">Jomaa v the Queen </w:t>
            </w:r>
            <w:r w:rsidRPr="002B19E8">
              <w:rPr>
                <w:rFonts w:ascii="Arial" w:hAnsi="Arial" w:cs="Arial"/>
                <w:sz w:val="22"/>
                <w:szCs w:val="22"/>
              </w:rPr>
              <w:t>[2014] VSCA 103</w:t>
            </w:r>
          </w:p>
        </w:tc>
        <w:tc>
          <w:tcPr>
            <w:tcW w:w="2268"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burglary (six charges), theft (ten charges) and driving in a dangerous manner (one summary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Six years and nine months’ imprisonment, non-parole period of five years; aggregate fine of $2,000 in relation to four of the charges of theft</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68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4"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30 May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Weinberg and Santamaria JJA</w:t>
            </w:r>
          </w:p>
        </w:tc>
      </w:tr>
    </w:tbl>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Default="00D9702B" w:rsidP="00971E25">
      <w:pPr>
        <w:rPr>
          <w:rFonts w:ascii="Arial" w:hAnsi="Arial" w:cs="Arial"/>
          <w:sz w:val="22"/>
          <w:szCs w:val="22"/>
        </w:rPr>
      </w:pPr>
    </w:p>
    <w:p w:rsidR="00D9702B" w:rsidRPr="0004766B" w:rsidRDefault="00D9702B" w:rsidP="00971E25">
      <w:pPr>
        <w:rPr>
          <w:rFonts w:ascii="Arial" w:hAnsi="Arial" w:cs="Arial"/>
          <w:sz w:val="22"/>
          <w:szCs w:val="22"/>
        </w:rPr>
      </w:pPr>
    </w:p>
    <w:p w:rsidR="00D9702B" w:rsidRPr="0004766B" w:rsidRDefault="004C6947" w:rsidP="006407C2">
      <w:pPr>
        <w:jc w:val="center"/>
        <w:rPr>
          <w:rFonts w:ascii="Arial" w:hAnsi="Arial" w:cs="Arial"/>
          <w:sz w:val="22"/>
          <w:szCs w:val="22"/>
        </w:rPr>
      </w:pPr>
      <w:r>
        <w:rPr>
          <w:rFonts w:ascii="Arial" w:hAnsi="Arial" w:cs="Arial"/>
          <w:noProof/>
          <w:sz w:val="22"/>
          <w:szCs w:val="22"/>
        </w:rPr>
        <w:lastRenderedPageBreak/>
        <w:drawing>
          <wp:inline distT="0" distB="0" distL="0" distR="0">
            <wp:extent cx="1181100" cy="1181100"/>
            <wp:effectExtent l="0" t="0" r="0" b="0"/>
            <wp:docPr id="2" name="Picture 2" descr="SCV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V_RGB_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D9702B" w:rsidRPr="0004766B" w:rsidRDefault="00D9702B" w:rsidP="006407C2">
      <w:pPr>
        <w:rPr>
          <w:rFonts w:ascii="Arial" w:hAnsi="Arial" w:cs="Arial"/>
          <w:sz w:val="22"/>
          <w:szCs w:val="22"/>
        </w:rPr>
      </w:pPr>
    </w:p>
    <w:p w:rsidR="00D9702B" w:rsidRPr="0004766B" w:rsidRDefault="00D9702B" w:rsidP="006407C2">
      <w:pPr>
        <w:jc w:val="center"/>
        <w:rPr>
          <w:rFonts w:ascii="Arial" w:hAnsi="Arial" w:cs="Arial"/>
          <w:b/>
          <w:sz w:val="22"/>
          <w:szCs w:val="22"/>
        </w:rPr>
      </w:pPr>
      <w:r w:rsidRPr="0004766B">
        <w:rPr>
          <w:rFonts w:ascii="Arial" w:hAnsi="Arial" w:cs="Arial"/>
          <w:b/>
          <w:sz w:val="22"/>
          <w:szCs w:val="22"/>
        </w:rPr>
        <w:t>COURT OF APPEAL</w:t>
      </w:r>
    </w:p>
    <w:p w:rsidR="00D9702B" w:rsidRPr="0004766B" w:rsidRDefault="00D9702B" w:rsidP="006407C2">
      <w:pPr>
        <w:jc w:val="center"/>
        <w:rPr>
          <w:rFonts w:ascii="Arial" w:hAnsi="Arial" w:cs="Arial"/>
          <w:b/>
          <w:sz w:val="22"/>
          <w:szCs w:val="22"/>
        </w:rPr>
      </w:pPr>
      <w:r w:rsidRPr="0004766B">
        <w:rPr>
          <w:rFonts w:ascii="Arial" w:hAnsi="Arial" w:cs="Arial"/>
          <w:b/>
          <w:sz w:val="22"/>
          <w:szCs w:val="22"/>
        </w:rPr>
        <w:t>CRIMINAL APPEALS</w:t>
      </w:r>
      <w:r>
        <w:rPr>
          <w:rFonts w:ascii="Arial" w:hAnsi="Arial" w:cs="Arial"/>
          <w:b/>
          <w:sz w:val="22"/>
          <w:szCs w:val="22"/>
        </w:rPr>
        <w:t xml:space="preserve"> - JUNE</w:t>
      </w:r>
    </w:p>
    <w:p w:rsidR="00D9702B" w:rsidRPr="0004766B" w:rsidRDefault="00D9702B" w:rsidP="006407C2">
      <w:pPr>
        <w:rPr>
          <w:rFonts w:ascii="Arial" w:hAnsi="Arial" w:cs="Arial"/>
          <w:sz w:val="22"/>
          <w:szCs w:val="22"/>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1701"/>
        <w:gridCol w:w="1418"/>
        <w:gridCol w:w="1275"/>
        <w:gridCol w:w="1985"/>
        <w:gridCol w:w="1701"/>
        <w:gridCol w:w="1559"/>
        <w:gridCol w:w="1246"/>
      </w:tblGrid>
      <w:tr w:rsidR="00D9702B" w:rsidRPr="0004766B" w:rsidTr="002B19E8">
        <w:trPr>
          <w:cantSplit/>
          <w:tblHeader/>
        </w:trPr>
        <w:tc>
          <w:tcPr>
            <w:tcW w:w="1526"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Case</w:t>
            </w:r>
          </w:p>
        </w:tc>
        <w:tc>
          <w:tcPr>
            <w:tcW w:w="2693"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Primary charge(s)</w:t>
            </w:r>
          </w:p>
        </w:tc>
        <w:tc>
          <w:tcPr>
            <w:tcW w:w="1701"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Sentence</w:t>
            </w:r>
          </w:p>
        </w:tc>
        <w:tc>
          <w:tcPr>
            <w:tcW w:w="1418"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Nature of appeal</w:t>
            </w:r>
          </w:p>
        </w:tc>
        <w:tc>
          <w:tcPr>
            <w:tcW w:w="1275"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Outcome of appeal</w:t>
            </w:r>
          </w:p>
        </w:tc>
        <w:tc>
          <w:tcPr>
            <w:tcW w:w="1985"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Successful ground (if any)</w:t>
            </w:r>
          </w:p>
        </w:tc>
        <w:tc>
          <w:tcPr>
            <w:tcW w:w="1701"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New sentence (if any)</w:t>
            </w:r>
          </w:p>
        </w:tc>
        <w:tc>
          <w:tcPr>
            <w:tcW w:w="1559"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Date of judgment</w:t>
            </w:r>
          </w:p>
        </w:tc>
        <w:tc>
          <w:tcPr>
            <w:tcW w:w="1246"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Bench</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t>Fram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106</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recklessly causing serious injury (one charge) and affray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Two years nine months’ imprisonment, fifteen months of which was cumulated on existing sentences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r w:rsidRPr="002B19E8">
              <w:rPr>
                <w:rStyle w:val="FootnoteReference"/>
                <w:rFonts w:ascii="Arial" w:hAnsi="Arial" w:cs="Arial"/>
                <w:sz w:val="22"/>
                <w:szCs w:val="22"/>
              </w:rPr>
              <w:footnoteReference w:id="1"/>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Weinberg and Santamaria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lastRenderedPageBreak/>
              <w:t>King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107</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indecent act with a child under 16 (four charges), indecent act in the presence of a child under 16 (one charge), threat to inflictserious injury (one charge) and sexual penetration of a child under 16 (two charges)</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Seven years nine months’ imprisonment, non-parole period of five years six months; registrable sex offender, life reporting period</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Evidence of complainant BL inconsistent and improbable, resultant verdicts not reasonably open on the evidence</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Verdict of acquittal entered on both charges of sexual penetration of child under 16, other verdicts quashed and new trial ordered</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3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and Weinberg JJA and Sifris AJA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Ulutui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110</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kidnapping (one charge), recklessly causing injury (one charge), threat to kill (two charges), false imprisonment (one charge), blackmail (one charge) and intentionally causing injury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Five years six months’ imprisonment, non-parole period of three years nine months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4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Neave, Redlich and Tate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Warwick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114</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intentionally causing serious injury (one charge) and conduct endangering life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Six years’ imprisonment, non-parole period of four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Application to appeal against sentence out of time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6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Priest and Beach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lastRenderedPageBreak/>
              <w:t>Haydar Ali v the Queen;</w:t>
            </w:r>
          </w:p>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t>Billal Ali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Badr Ali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117</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 xml:space="preserve">Pleaded guilty to common law assault (three charges) and recklessly causing serious injury (one charge);  </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blackmail (one charge), kidnapping (one charge), robbery (two charges) and make threat to kill (one charge);</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Haydar Ali</w:t>
            </w:r>
            <w:r w:rsidRPr="002B19E8">
              <w:rPr>
                <w:rFonts w:ascii="Arial" w:hAnsi="Arial" w:cs="Arial"/>
                <w:sz w:val="22"/>
                <w:szCs w:val="22"/>
              </w:rPr>
              <w:t>: also pleaded guilty to robbery (two charges) and common law assault (one charge);</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Billal Ali</w:t>
            </w:r>
            <w:r w:rsidRPr="002B19E8">
              <w:rPr>
                <w:rFonts w:ascii="Arial" w:hAnsi="Arial" w:cs="Arial"/>
                <w:sz w:val="22"/>
                <w:szCs w:val="22"/>
              </w:rPr>
              <w:t>: also pleaded guilty to possessing a drug of dependence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Haydar Ali</w:t>
            </w:r>
            <w:r w:rsidRPr="002B19E8">
              <w:rPr>
                <w:rFonts w:ascii="Arial" w:hAnsi="Arial" w:cs="Arial"/>
                <w:sz w:val="22"/>
                <w:szCs w:val="22"/>
              </w:rPr>
              <w:t>: Five years nine months’ imprisonment, non-parole period three years six months;</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Billal Ali</w:t>
            </w:r>
            <w:r w:rsidRPr="002B19E8">
              <w:rPr>
                <w:rFonts w:ascii="Arial" w:hAnsi="Arial" w:cs="Arial"/>
                <w:sz w:val="22"/>
                <w:szCs w:val="22"/>
              </w:rPr>
              <w:t>: Five years’ imprisonment, non-parole period of three years;</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Badr Ali</w:t>
            </w:r>
            <w:r w:rsidRPr="002B19E8">
              <w:rPr>
                <w:rFonts w:ascii="Arial" w:hAnsi="Arial" w:cs="Arial"/>
                <w:sz w:val="22"/>
                <w:szCs w:val="22"/>
              </w:rPr>
              <w:t>: Five years’ imprisonment, non-parole period of three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r w:rsidRPr="002B19E8">
              <w:rPr>
                <w:rStyle w:val="FootnoteReference"/>
                <w:rFonts w:ascii="Arial" w:hAnsi="Arial" w:cs="Arial"/>
                <w:sz w:val="22"/>
                <w:szCs w:val="22"/>
              </w:rPr>
              <w:footnoteReference w:id="2"/>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16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ACJ and Tate and Beach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Mathis (a pseudonym)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118</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incest (four charges), indecent act with a child under 16 (two charges) and attempted incest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Eight years’ imprisonment, non-parole period of six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16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ACJ and Neave JA and Kyrou AJA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DPP (Cth) v Thai</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122</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conspiracy to import a marketable quantity of a border controlled drug (heroin, one charge) and trafficking a marketable quantity of a controlled drug (heroin,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Nine years’ imprisonment, non-parole period of five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Director’s 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16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and Beach JJA and Almond AJA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Marrah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119</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recklessly causing injury (one charge), rape (one charge) and make threat to kill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12 years, non-parole period of ten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985" w:type="dxa"/>
          </w:tcPr>
          <w:p w:rsidR="00D9702B" w:rsidRPr="002B19E8" w:rsidRDefault="00D9702B" w:rsidP="002B19E8">
            <w:pPr>
              <w:spacing w:line="288" w:lineRule="auto"/>
              <w:rPr>
                <w:rFonts w:ascii="Arial" w:hAnsi="Arial" w:cs="Arial"/>
              </w:rPr>
            </w:pPr>
            <w:r w:rsidRPr="002B19E8">
              <w:rPr>
                <w:rFonts w:ascii="Arial" w:hAnsi="Arial" w:cs="Arial"/>
                <w:sz w:val="22"/>
                <w:szCs w:val="22"/>
              </w:rPr>
              <w:t>Manifest excess on two charges (RCSI and make threat to kill) conceded by the Crown</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Nine years six months’ imprisonment, non-parole period of six years six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18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and Tate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Velkoski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121</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committing an indecent act with a child under 16 (15 charges)</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Four years eight months’ imprisonment, non-parole period of three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Verdicts unsafe and unsatisfactory: jury may have employed tendency reasoning in an inappropriate context</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Verdict of acquittal entered on two charges, other verdicts quashed and retrial ordered</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18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Weinberg and Coghlan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DPP v Costa</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116</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theft (two charges), aggravated burglary (one charge), intentionally cause injury (one charge), false imprisonment (common law, one charge) and rape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Ten years seven months’ imprisonment, non-parole period of five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Director’s 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Non-parole period manifestly inadequate</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Ten years seven months’ imprisonment, non-parole period of seven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20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ACJ and Whelan and Priest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Zhou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123</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conspiracy to dishonestly influence a Commonwealth Public Official (one charge) and having custody and control of material designed for making a false document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Four years seven months’ imprisonment, with release on recognisance after two years for a period of two years and seven months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20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and Beach JJA and Almond AJA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Rich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126</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murder (common law, one charge) and armed robbery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Life imprisonment, non-parole period of 30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 and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20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Neave and Osborn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DPP (Cth) v Peng</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128</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importing a commercial quantity of a border controlled drug (methamphetamine,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11 years’ imprisonment, non-parole period of seven years six months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Director’s 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Manifest inadequacy due to erroneous consideration of delay, possibility of deportation, isolation of foreign national from family and objective gravity of offending</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13 years’ imprisonment, non-parole period of ten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20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Redlich and Priest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Evison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132</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common assault (common law, two charges), make threat to kill (one charge), use carriage service to menace (one charge), aggravated burglary (one charge), make threat to inflict serious injury (one charge), cause criminal damage (one charge) and breach intervention order (summary offence,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Seven years three months’ imprisonment, non-parole period of five years three months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Manifest excess, hypothesised to be possibly the result of a mistake as to the facts of one charge or insufficient weight to the principle of totality</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Five years nine months’ imprisonment, non-parole period of three years  nine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24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Tate and Beach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lastRenderedPageBreak/>
              <w:t>DPP v Vella;</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DPP v Ray</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140</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aggravated burglary (one charge) and false imprisonment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Vella</w:t>
            </w:r>
            <w:r w:rsidRPr="002B19E8">
              <w:rPr>
                <w:rFonts w:ascii="Arial" w:hAnsi="Arial" w:cs="Arial"/>
                <w:sz w:val="22"/>
                <w:szCs w:val="22"/>
              </w:rPr>
              <w:t>: Three years three months’ imprisonment, non-parole period of one year nine months</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Ray</w:t>
            </w:r>
            <w:r w:rsidRPr="002B19E8">
              <w:rPr>
                <w:rFonts w:ascii="Arial" w:hAnsi="Arial" w:cs="Arial"/>
                <w:sz w:val="22"/>
                <w:szCs w:val="22"/>
              </w:rPr>
              <w:t>: Three years six months’ imprisonment, non-parole period of two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Director’s 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26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P and Whelan and Beach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lastRenderedPageBreak/>
              <w:t>Saner v the Queen;</w:t>
            </w:r>
          </w:p>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t>Kamal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134</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Saner</w:t>
            </w:r>
            <w:r w:rsidRPr="002B19E8">
              <w:rPr>
                <w:rFonts w:ascii="Arial" w:hAnsi="Arial" w:cs="Arial"/>
                <w:sz w:val="22"/>
                <w:szCs w:val="22"/>
              </w:rPr>
              <w:t>: Pleaded guilty to conspiracy to commit armed robbery (one charge), burglary (one charge), theft (four charges), handle stolen goods (one charge) and deal with property suspected of being the proceeds of crime (summary offence, one charge)</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sz w:val="20"/>
                <w:szCs w:val="20"/>
              </w:rPr>
            </w:pPr>
            <w:r w:rsidRPr="002B19E8">
              <w:rPr>
                <w:rFonts w:ascii="Arial" w:hAnsi="Arial" w:cs="Arial"/>
                <w:b/>
                <w:sz w:val="22"/>
                <w:szCs w:val="22"/>
              </w:rPr>
              <w:t>Kamal</w:t>
            </w:r>
            <w:r w:rsidRPr="002B19E8">
              <w:rPr>
                <w:rFonts w:ascii="Arial" w:hAnsi="Arial" w:cs="Arial"/>
                <w:sz w:val="22"/>
                <w:szCs w:val="22"/>
              </w:rPr>
              <w:t>: Pleaded guilty to conspiracy to commit armed robbery (one charge), burglary (two charges), theft (three charges), possess unregistered firearm whilst a prohibited person (one charge) and dealing with property suspected of being the proceeds of crime (summary offence, two charges)</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Saner</w:t>
            </w:r>
            <w:r w:rsidRPr="002B19E8">
              <w:rPr>
                <w:rFonts w:ascii="Arial" w:hAnsi="Arial" w:cs="Arial"/>
                <w:sz w:val="22"/>
                <w:szCs w:val="22"/>
              </w:rPr>
              <w:t>: Six years six months’ imprisonment, non-parole period of four years</w:t>
            </w:r>
          </w:p>
          <w:p w:rsidR="00D9702B" w:rsidRPr="002B19E8" w:rsidRDefault="00D9702B" w:rsidP="002B19E8">
            <w:pPr>
              <w:autoSpaceDE w:val="0"/>
              <w:autoSpaceDN w:val="0"/>
              <w:adjustRightInd w:val="0"/>
              <w:spacing w:before="40" w:after="40" w:line="24" w:lineRule="atLeast"/>
              <w:rPr>
                <w:rFonts w:ascii="Arial" w:hAnsi="Arial" w:cs="Arial"/>
              </w:rPr>
            </w:pP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b/>
                <w:sz w:val="22"/>
                <w:szCs w:val="22"/>
              </w:rPr>
              <w:t>Kamal</w:t>
            </w:r>
            <w:r w:rsidRPr="002B19E8">
              <w:rPr>
                <w:rFonts w:ascii="Arial" w:hAnsi="Arial" w:cs="Arial"/>
                <w:sz w:val="22"/>
                <w:szCs w:val="22"/>
              </w:rPr>
              <w:t>: Seven years three months’ imprisonment, non-parole period of five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 for both</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b/>
                <w:sz w:val="22"/>
                <w:szCs w:val="22"/>
              </w:rPr>
              <w:t>Saner</w:t>
            </w:r>
            <w:r w:rsidRPr="002B19E8">
              <w:rPr>
                <w:rFonts w:ascii="Arial" w:hAnsi="Arial" w:cs="Arial"/>
                <w:sz w:val="22"/>
                <w:szCs w:val="22"/>
              </w:rPr>
              <w:t>: Sentence manifestly excessive; parity with co-offender despite differing circumstance of offending; failure to make explicit any discount for cooperation</w:t>
            </w:r>
          </w:p>
          <w:p w:rsidR="00D9702B" w:rsidRPr="002B19E8" w:rsidRDefault="00D9702B" w:rsidP="002B19E8">
            <w:pPr>
              <w:spacing w:before="40" w:after="40" w:line="24" w:lineRule="atLeast"/>
              <w:rPr>
                <w:rFonts w:ascii="Arial" w:hAnsi="Arial" w:cs="Arial"/>
              </w:rPr>
            </w:pPr>
          </w:p>
          <w:p w:rsidR="00D9702B" w:rsidRPr="002B19E8" w:rsidRDefault="00D9702B" w:rsidP="002B19E8">
            <w:pPr>
              <w:spacing w:before="40" w:after="40" w:line="24" w:lineRule="atLeast"/>
              <w:rPr>
                <w:rFonts w:ascii="Arial" w:hAnsi="Arial" w:cs="Arial"/>
                <w:sz w:val="16"/>
                <w:szCs w:val="16"/>
              </w:rPr>
            </w:pPr>
            <w:r w:rsidRPr="002B19E8">
              <w:rPr>
                <w:rFonts w:ascii="Arial" w:hAnsi="Arial" w:cs="Arial"/>
                <w:b/>
                <w:sz w:val="22"/>
                <w:szCs w:val="22"/>
              </w:rPr>
              <w:t>Kamal</w:t>
            </w:r>
            <w:r w:rsidRPr="002B19E8">
              <w:rPr>
                <w:rFonts w:ascii="Arial" w:hAnsi="Arial" w:cs="Arial"/>
                <w:sz w:val="22"/>
                <w:szCs w:val="22"/>
              </w:rPr>
              <w:t>: Sentence manifestly excessive for various reasons including disparity with co-offenders’ sentences, double punishment, failure to account for subsequent legislative changes indicative of parliament’s opinion of the seriousness of certain firearms offences</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b/>
                <w:sz w:val="22"/>
                <w:szCs w:val="22"/>
              </w:rPr>
              <w:t>Saner</w:t>
            </w:r>
            <w:r w:rsidRPr="002B19E8">
              <w:rPr>
                <w:rFonts w:ascii="Arial" w:hAnsi="Arial" w:cs="Arial"/>
                <w:sz w:val="22"/>
                <w:szCs w:val="22"/>
              </w:rPr>
              <w:t>: Five years nine months’ imprisonment, non-parole period of three years six months</w:t>
            </w:r>
          </w:p>
          <w:p w:rsidR="00D9702B" w:rsidRPr="002B19E8" w:rsidRDefault="00D9702B" w:rsidP="002B19E8">
            <w:pPr>
              <w:spacing w:before="40" w:after="40" w:line="24" w:lineRule="atLeast"/>
              <w:rPr>
                <w:rFonts w:ascii="Arial" w:hAnsi="Arial" w:cs="Arial"/>
              </w:rPr>
            </w:pPr>
          </w:p>
          <w:p w:rsidR="00D9702B" w:rsidRPr="002B19E8" w:rsidRDefault="00D9702B" w:rsidP="002B19E8">
            <w:pPr>
              <w:spacing w:before="40" w:after="40" w:line="24" w:lineRule="atLeast"/>
              <w:rPr>
                <w:rFonts w:ascii="Arial" w:hAnsi="Arial" w:cs="Arial"/>
              </w:rPr>
            </w:pPr>
            <w:r w:rsidRPr="002B19E8">
              <w:rPr>
                <w:rFonts w:ascii="Arial" w:hAnsi="Arial" w:cs="Arial"/>
                <w:b/>
                <w:sz w:val="22"/>
                <w:szCs w:val="22"/>
              </w:rPr>
              <w:t>Kamal</w:t>
            </w:r>
            <w:r w:rsidRPr="002B19E8">
              <w:rPr>
                <w:rFonts w:ascii="Arial" w:hAnsi="Arial" w:cs="Arial"/>
                <w:sz w:val="22"/>
                <w:szCs w:val="22"/>
              </w:rPr>
              <w:t>: Six years three months’ imprisonment, non-parole period of four years three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27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and Tate JJA</w:t>
            </w:r>
          </w:p>
        </w:tc>
      </w:tr>
      <w:tr w:rsidR="00D9702B" w:rsidRPr="0004766B" w:rsidTr="002B19E8">
        <w:trPr>
          <w:cantSplit/>
        </w:trPr>
        <w:tc>
          <w:tcPr>
            <w:tcW w:w="1526"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Tasevski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135</w:t>
            </w:r>
          </w:p>
        </w:tc>
        <w:tc>
          <w:tcPr>
            <w:tcW w:w="2693"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intentionally cause injury (one charge) and intentionally cause serious injury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Nine years’ imprisonment, non-parole period of seven years</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27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985"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01"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27 June 2014</w:t>
            </w:r>
          </w:p>
        </w:tc>
        <w:tc>
          <w:tcPr>
            <w:tcW w:w="1246"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Tate and Beach JJA</w:t>
            </w:r>
          </w:p>
        </w:tc>
      </w:tr>
    </w:tbl>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Default="00D9702B" w:rsidP="006407C2">
      <w:pPr>
        <w:rPr>
          <w:rFonts w:ascii="Arial" w:hAnsi="Arial" w:cs="Arial"/>
          <w:sz w:val="22"/>
          <w:szCs w:val="22"/>
        </w:rPr>
      </w:pPr>
    </w:p>
    <w:p w:rsidR="00D9702B" w:rsidRPr="0004766B" w:rsidRDefault="00D9702B" w:rsidP="006407C2">
      <w:pPr>
        <w:rPr>
          <w:rFonts w:ascii="Arial" w:hAnsi="Arial" w:cs="Arial"/>
          <w:sz w:val="22"/>
          <w:szCs w:val="22"/>
        </w:rPr>
      </w:pPr>
    </w:p>
    <w:p w:rsidR="00D9702B" w:rsidRPr="0004766B" w:rsidRDefault="004C6947" w:rsidP="006407C2">
      <w:pPr>
        <w:jc w:val="center"/>
        <w:rPr>
          <w:rFonts w:ascii="Arial" w:hAnsi="Arial" w:cs="Arial"/>
          <w:sz w:val="22"/>
          <w:szCs w:val="22"/>
        </w:rPr>
      </w:pPr>
      <w:r>
        <w:rPr>
          <w:rFonts w:ascii="Arial" w:hAnsi="Arial" w:cs="Arial"/>
          <w:noProof/>
          <w:sz w:val="22"/>
          <w:szCs w:val="22"/>
        </w:rPr>
        <w:lastRenderedPageBreak/>
        <w:drawing>
          <wp:inline distT="0" distB="0" distL="0" distR="0">
            <wp:extent cx="1181100" cy="1181100"/>
            <wp:effectExtent l="0" t="0" r="0" b="0"/>
            <wp:docPr id="3" name="Picture 3" descr="SCV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GB_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D9702B" w:rsidRPr="0004766B" w:rsidRDefault="00D9702B" w:rsidP="006407C2">
      <w:pPr>
        <w:rPr>
          <w:rFonts w:ascii="Arial" w:hAnsi="Arial" w:cs="Arial"/>
          <w:sz w:val="22"/>
          <w:szCs w:val="22"/>
        </w:rPr>
      </w:pPr>
    </w:p>
    <w:p w:rsidR="00D9702B" w:rsidRPr="0004766B" w:rsidRDefault="00D9702B" w:rsidP="006407C2">
      <w:pPr>
        <w:jc w:val="center"/>
        <w:rPr>
          <w:rFonts w:ascii="Arial" w:hAnsi="Arial" w:cs="Arial"/>
          <w:b/>
          <w:sz w:val="22"/>
          <w:szCs w:val="22"/>
        </w:rPr>
      </w:pPr>
      <w:r w:rsidRPr="0004766B">
        <w:rPr>
          <w:rFonts w:ascii="Arial" w:hAnsi="Arial" w:cs="Arial"/>
          <w:b/>
          <w:sz w:val="22"/>
          <w:szCs w:val="22"/>
        </w:rPr>
        <w:t>COURT OF APPEAL</w:t>
      </w:r>
    </w:p>
    <w:p w:rsidR="00D9702B" w:rsidRPr="0004766B" w:rsidRDefault="00D9702B" w:rsidP="006407C2">
      <w:pPr>
        <w:jc w:val="center"/>
        <w:rPr>
          <w:rFonts w:ascii="Arial" w:hAnsi="Arial" w:cs="Arial"/>
          <w:b/>
          <w:sz w:val="22"/>
          <w:szCs w:val="22"/>
        </w:rPr>
      </w:pPr>
      <w:r w:rsidRPr="0004766B">
        <w:rPr>
          <w:rFonts w:ascii="Arial" w:hAnsi="Arial" w:cs="Arial"/>
          <w:b/>
          <w:sz w:val="22"/>
          <w:szCs w:val="22"/>
        </w:rPr>
        <w:t>CRIMINAL APPEALS</w:t>
      </w:r>
      <w:r>
        <w:rPr>
          <w:rFonts w:ascii="Arial" w:hAnsi="Arial" w:cs="Arial"/>
          <w:b/>
          <w:sz w:val="22"/>
          <w:szCs w:val="22"/>
        </w:rPr>
        <w:t xml:space="preserve"> - JULY</w:t>
      </w:r>
    </w:p>
    <w:p w:rsidR="00D9702B" w:rsidRPr="0004766B" w:rsidRDefault="00D9702B" w:rsidP="006407C2">
      <w:pPr>
        <w:rPr>
          <w:rFonts w:ascii="Arial" w:hAnsi="Arial" w:cs="Arial"/>
          <w:sz w:val="22"/>
          <w:szCs w:val="22"/>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410"/>
        <w:gridCol w:w="1701"/>
        <w:gridCol w:w="1559"/>
        <w:gridCol w:w="1418"/>
        <w:gridCol w:w="1527"/>
        <w:gridCol w:w="1733"/>
        <w:gridCol w:w="1507"/>
        <w:gridCol w:w="1440"/>
      </w:tblGrid>
      <w:tr w:rsidR="00D9702B" w:rsidRPr="0004766B" w:rsidTr="002B19E8">
        <w:trPr>
          <w:cantSplit/>
          <w:tblHeader/>
        </w:trPr>
        <w:tc>
          <w:tcPr>
            <w:tcW w:w="1809"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Case</w:t>
            </w:r>
          </w:p>
        </w:tc>
        <w:tc>
          <w:tcPr>
            <w:tcW w:w="2410"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Primary charge(s)</w:t>
            </w:r>
          </w:p>
        </w:tc>
        <w:tc>
          <w:tcPr>
            <w:tcW w:w="1701"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Sentence</w:t>
            </w:r>
          </w:p>
        </w:tc>
        <w:tc>
          <w:tcPr>
            <w:tcW w:w="1559"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Nature of appeal</w:t>
            </w:r>
          </w:p>
        </w:tc>
        <w:tc>
          <w:tcPr>
            <w:tcW w:w="1418"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Outcome of appeal</w:t>
            </w:r>
          </w:p>
        </w:tc>
        <w:tc>
          <w:tcPr>
            <w:tcW w:w="1527"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Successful ground (if any)</w:t>
            </w:r>
          </w:p>
        </w:tc>
        <w:tc>
          <w:tcPr>
            <w:tcW w:w="1733"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New sentence (if any)</w:t>
            </w:r>
          </w:p>
        </w:tc>
        <w:tc>
          <w:tcPr>
            <w:tcW w:w="1507"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Date of judgment</w:t>
            </w:r>
          </w:p>
        </w:tc>
        <w:tc>
          <w:tcPr>
            <w:tcW w:w="1440" w:type="dxa"/>
          </w:tcPr>
          <w:p w:rsidR="00D9702B" w:rsidRPr="002B19E8" w:rsidRDefault="00D9702B" w:rsidP="002B19E8">
            <w:pPr>
              <w:spacing w:before="40" w:after="40" w:line="24" w:lineRule="atLeast"/>
              <w:rPr>
                <w:rFonts w:ascii="Arial" w:hAnsi="Arial" w:cs="Arial"/>
                <w:b/>
              </w:rPr>
            </w:pPr>
            <w:r w:rsidRPr="002B19E8">
              <w:rPr>
                <w:rFonts w:ascii="Arial" w:hAnsi="Arial" w:cs="Arial"/>
                <w:b/>
                <w:sz w:val="22"/>
                <w:szCs w:val="22"/>
              </w:rPr>
              <w:t>Bench</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i/>
              </w:rPr>
            </w:pPr>
            <w:r w:rsidRPr="002B19E8">
              <w:rPr>
                <w:rFonts w:ascii="Arial" w:hAnsi="Arial" w:cs="Arial"/>
                <w:i/>
                <w:sz w:val="22"/>
                <w:szCs w:val="22"/>
              </w:rPr>
              <w:t>Reid (a Pseudonym)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145</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 xml:space="preserve">Convicted of incest (13 charges), produce child pornography (one charge) and indecent act with child under 16 or 17 under care, supervision or authority (one charge)  </w:t>
            </w:r>
          </w:p>
          <w:p w:rsidR="00D9702B" w:rsidRPr="002B19E8" w:rsidRDefault="00D9702B" w:rsidP="002B19E8">
            <w:pPr>
              <w:autoSpaceDE w:val="0"/>
              <w:autoSpaceDN w:val="0"/>
              <w:adjustRightInd w:val="0"/>
              <w:spacing w:before="40" w:after="40" w:line="24" w:lineRule="atLeast"/>
              <w:rPr>
                <w:rFonts w:ascii="Arial" w:hAnsi="Arial" w:cs="Arial"/>
                <w:strike/>
              </w:rPr>
            </w:pP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18 years and eight months’ imprisonment, non-parole period of 14 years eight months</w:t>
            </w:r>
          </w:p>
          <w:p w:rsidR="00D9702B" w:rsidRPr="002B19E8" w:rsidRDefault="00D9702B" w:rsidP="002B19E8">
            <w:pPr>
              <w:autoSpaceDE w:val="0"/>
              <w:autoSpaceDN w:val="0"/>
              <w:adjustRightInd w:val="0"/>
              <w:spacing w:before="40" w:after="40" w:line="24" w:lineRule="atLeast"/>
              <w:rPr>
                <w:rFonts w:ascii="Arial" w:hAnsi="Arial" w:cs="Arial"/>
              </w:rPr>
            </w:pP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 xml:space="preserve">Manifest excess; the total effective sentence and non-parole period were outside the range of those properly open in the sound exercise of the sentencing discretion </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14 years’ imprisonment, non-parole period of 10 years</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P, Whelan and Priest JJA</w:t>
            </w:r>
          </w:p>
        </w:tc>
      </w:tr>
      <w:tr w:rsidR="00D9702B" w:rsidRPr="000A1634"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 xml:space="preserve">Power v the Queen </w:t>
            </w:r>
            <w:r w:rsidRPr="002B19E8">
              <w:rPr>
                <w:rFonts w:ascii="Arial" w:hAnsi="Arial" w:cs="Arial"/>
                <w:sz w:val="22"/>
                <w:szCs w:val="22"/>
              </w:rPr>
              <w:t>[2014] VSCA 146</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aggravated burglary (one charge), armed robbery (one charge), false imprisonment (one charge), recklessly causing injury (one charge) and possessing an unregistered general category handgun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Eight years and two months’ imprisonment, non-parole period of six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4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and Priest JJA and Robson AJA</w:t>
            </w:r>
          </w:p>
        </w:tc>
      </w:tr>
      <w:tr w:rsidR="00D9702B" w:rsidRPr="000A1634"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Ayol v the Queen </w:t>
            </w:r>
            <w:r w:rsidRPr="002B19E8">
              <w:rPr>
                <w:rFonts w:ascii="Arial" w:hAnsi="Arial" w:cs="Arial"/>
                <w:sz w:val="22"/>
                <w:szCs w:val="22"/>
              </w:rPr>
              <w:t>[2014] VSCA 151</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rape (one charge) and common assault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Four years and 11 months’ imprisonment, non-parole period of three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 and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15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P, Redlich and Weinberg JJA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Kurt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147</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kidnapping (one charge), recklessly causing injury (one charge), make threat to kill (two charges), false imprisonment (one charge), blackmail (one charge), intentionally cause injury (one charge) and possession of a controlled weapon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Five years and six months’ imprisonment, non-parole period of three years and nine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17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Weinberg and Santamaria JJA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 xml:space="preserve">Wagner v the Queen </w:t>
            </w:r>
            <w:r w:rsidRPr="002B19E8">
              <w:rPr>
                <w:rFonts w:ascii="Arial" w:hAnsi="Arial" w:cs="Arial"/>
                <w:sz w:val="22"/>
                <w:szCs w:val="22"/>
              </w:rPr>
              <w:t>[2014] VSCA 157</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attempting to obtain property by deception (one charge), handling stolen goods (one charge), recklessly dealing with the proceeds of crime (three charges), possessing an unregistered firearm (one charge), possessing a drug of dependence (two charges, methylamphetamine and cannabis)</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Three years and two months’ imprisonment, non-parole period of 30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Misstatement of the maximum sentence of various offences upon which the applicant was sentenced</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Three years and one month imprisonment, non-parole period of 30 months</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21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Maxwell P and Redlich and Osborn JJA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Leddin v the Queen </w:t>
            </w:r>
            <w:r w:rsidRPr="002B19E8">
              <w:rPr>
                <w:rFonts w:ascii="Arial" w:hAnsi="Arial" w:cs="Arial"/>
                <w:sz w:val="22"/>
                <w:szCs w:val="22"/>
              </w:rPr>
              <w:t>[2014] VSCA 155</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culpable driving causing death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Four years and three months’ imprisonment, non-parole period of two years and three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22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Weinberg, Whelan and Beach JJA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Sinn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149</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 xml:space="preserve">Pleaded guilty to trafficking in a drug of dependence (cannabis, commercial quantity, one charge) </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Five years’ imprisonment, non-parole period of three years and six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527" w:type="dxa"/>
          </w:tcPr>
          <w:p w:rsidR="00D9702B" w:rsidRPr="002B19E8" w:rsidRDefault="00D9702B" w:rsidP="002B19E8">
            <w:pPr>
              <w:spacing w:before="40" w:after="40" w:line="24" w:lineRule="atLeast"/>
              <w:rPr>
                <w:rFonts w:ascii="Arial" w:hAnsi="Arial" w:cs="Arial"/>
                <w:color w:val="FF0000"/>
              </w:rPr>
            </w:pPr>
            <w:r w:rsidRPr="002B19E8">
              <w:rPr>
                <w:rFonts w:ascii="Arial" w:hAnsi="Arial" w:cs="Arial"/>
                <w:sz w:val="22"/>
                <w:szCs w:val="22"/>
              </w:rPr>
              <w:t>Total effective sentence offended against the parity principle</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Four years’ imprisonment, non-parole period of three years</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23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Nettle and Redlich JJA and Almond AJA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Booysen v the Queen</w:t>
            </w:r>
          </w:p>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[2014] VSCA 150</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importing a marketable quantity of border controlled drug (cocaine,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Eight years’ imprisonment, non-parole period of five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23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JA and Almond AJA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McPhee v the Queen </w:t>
            </w:r>
            <w:r w:rsidRPr="002B19E8">
              <w:rPr>
                <w:rFonts w:ascii="Arial" w:hAnsi="Arial" w:cs="Arial"/>
                <w:sz w:val="22"/>
                <w:szCs w:val="22"/>
              </w:rPr>
              <w:t>[2014] VSCA 156</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murder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20 years’ imprisonment, non-parole period of 16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Manifest excess</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18 years’ imprisonment, non-parole period of 13 years</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24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and Priest JJA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Mifsud v the Queen </w:t>
            </w:r>
            <w:r w:rsidRPr="002B19E8">
              <w:rPr>
                <w:rFonts w:ascii="Arial" w:hAnsi="Arial" w:cs="Arial"/>
                <w:sz w:val="22"/>
                <w:szCs w:val="22"/>
              </w:rPr>
              <w:t>[2014] VSCA 160</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intentionally causing injury (one charge), common assault (one charge) and theft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23 months’ imprisonment, suspended for 24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24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Redlich and Priest JJA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lastRenderedPageBreak/>
              <w:t xml:space="preserve">Miletto v the Queen </w:t>
            </w:r>
            <w:r w:rsidRPr="002B19E8">
              <w:rPr>
                <w:rFonts w:ascii="Arial" w:hAnsi="Arial" w:cs="Arial"/>
                <w:sz w:val="22"/>
                <w:szCs w:val="22"/>
              </w:rPr>
              <w:t>[2014] VSCA 161</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Pleaded guilty to trafficking not less than a commercial drug of dependence (methylamphetamine,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Five years’ imprisonment, non-parole period of two years and six months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sentence</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Allowed</w:t>
            </w:r>
          </w:p>
        </w:tc>
        <w:tc>
          <w:tcPr>
            <w:tcW w:w="152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Fresh evidence after sentencing</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Four years and six months’ imprisonment, non-parole period of two years and three months</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31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Whelan and Priest JJA</w:t>
            </w:r>
          </w:p>
        </w:tc>
      </w:tr>
      <w:tr w:rsidR="00D9702B" w:rsidRPr="0004766B" w:rsidTr="002B19E8">
        <w:trPr>
          <w:cantSplit/>
        </w:trPr>
        <w:tc>
          <w:tcPr>
            <w:tcW w:w="1809"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i/>
                <w:sz w:val="22"/>
                <w:szCs w:val="22"/>
              </w:rPr>
              <w:t xml:space="preserve">Farah v the Queen </w:t>
            </w:r>
            <w:r w:rsidRPr="002B19E8">
              <w:rPr>
                <w:rFonts w:ascii="Arial" w:hAnsi="Arial" w:cs="Arial"/>
                <w:sz w:val="22"/>
                <w:szCs w:val="22"/>
              </w:rPr>
              <w:t>[2014] VSCA 163</w:t>
            </w:r>
          </w:p>
        </w:tc>
        <w:tc>
          <w:tcPr>
            <w:tcW w:w="2410"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Convicted of armed robbery (one charge), threatening to kill (one charge) and false imprisonment (one charge)</w:t>
            </w:r>
          </w:p>
        </w:tc>
        <w:tc>
          <w:tcPr>
            <w:tcW w:w="1701" w:type="dxa"/>
          </w:tcPr>
          <w:p w:rsidR="00D9702B" w:rsidRPr="002B19E8" w:rsidRDefault="00D9702B" w:rsidP="002B19E8">
            <w:pPr>
              <w:autoSpaceDE w:val="0"/>
              <w:autoSpaceDN w:val="0"/>
              <w:adjustRightInd w:val="0"/>
              <w:spacing w:before="40" w:after="40" w:line="24" w:lineRule="atLeast"/>
              <w:rPr>
                <w:rFonts w:ascii="Arial" w:hAnsi="Arial" w:cs="Arial"/>
              </w:rPr>
            </w:pPr>
            <w:r w:rsidRPr="002B19E8">
              <w:rPr>
                <w:rFonts w:ascii="Arial" w:hAnsi="Arial" w:cs="Arial"/>
                <w:sz w:val="22"/>
                <w:szCs w:val="22"/>
              </w:rPr>
              <w:t>Three years and nine months’ imprisonment, non-parole period of two years</w:t>
            </w:r>
          </w:p>
        </w:tc>
        <w:tc>
          <w:tcPr>
            <w:tcW w:w="1559"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Appeal against conviction</w:t>
            </w:r>
          </w:p>
        </w:tc>
        <w:tc>
          <w:tcPr>
            <w:tcW w:w="1418"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Dismissed</w:t>
            </w:r>
          </w:p>
        </w:tc>
        <w:tc>
          <w:tcPr>
            <w:tcW w:w="1527" w:type="dxa"/>
          </w:tcPr>
          <w:p w:rsidR="00D9702B" w:rsidRPr="002B19E8" w:rsidRDefault="00D9702B" w:rsidP="002B19E8">
            <w:pPr>
              <w:spacing w:line="288" w:lineRule="auto"/>
              <w:rPr>
                <w:rFonts w:ascii="Arial" w:hAnsi="Arial" w:cs="Arial"/>
              </w:rPr>
            </w:pPr>
            <w:r w:rsidRPr="002B19E8">
              <w:rPr>
                <w:rFonts w:ascii="Arial" w:hAnsi="Arial" w:cs="Arial"/>
                <w:sz w:val="22"/>
                <w:szCs w:val="22"/>
              </w:rPr>
              <w:t>N/A</w:t>
            </w:r>
          </w:p>
        </w:tc>
        <w:tc>
          <w:tcPr>
            <w:tcW w:w="1733"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N/A</w:t>
            </w:r>
          </w:p>
        </w:tc>
        <w:tc>
          <w:tcPr>
            <w:tcW w:w="1507"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31 July 2014</w:t>
            </w:r>
          </w:p>
        </w:tc>
        <w:tc>
          <w:tcPr>
            <w:tcW w:w="1440" w:type="dxa"/>
          </w:tcPr>
          <w:p w:rsidR="00D9702B" w:rsidRPr="002B19E8" w:rsidRDefault="00D9702B" w:rsidP="002B19E8">
            <w:pPr>
              <w:spacing w:before="40" w:after="40" w:line="24" w:lineRule="atLeast"/>
              <w:rPr>
                <w:rFonts w:ascii="Arial" w:hAnsi="Arial" w:cs="Arial"/>
              </w:rPr>
            </w:pPr>
            <w:r w:rsidRPr="002B19E8">
              <w:rPr>
                <w:rFonts w:ascii="Arial" w:hAnsi="Arial" w:cs="Arial"/>
                <w:sz w:val="22"/>
                <w:szCs w:val="22"/>
              </w:rPr>
              <w:t>Whelan JA and Garde AJA</w:t>
            </w:r>
          </w:p>
        </w:tc>
      </w:tr>
    </w:tbl>
    <w:p w:rsidR="00D9702B" w:rsidRDefault="00D9702B" w:rsidP="006407C2">
      <w:pPr>
        <w:jc w:val="center"/>
        <w:rPr>
          <w:rFonts w:ascii="Arial" w:hAnsi="Arial" w:cs="Arial"/>
          <w:sz w:val="22"/>
          <w:szCs w:val="22"/>
        </w:rPr>
      </w:pPr>
    </w:p>
    <w:p w:rsidR="00D9702B" w:rsidRDefault="00D9702B" w:rsidP="006407C2">
      <w:pPr>
        <w:jc w:val="center"/>
        <w:rPr>
          <w:rFonts w:ascii="Arial" w:hAnsi="Arial" w:cs="Arial"/>
          <w:sz w:val="22"/>
          <w:szCs w:val="22"/>
        </w:rPr>
      </w:pPr>
    </w:p>
    <w:p w:rsidR="00D9702B" w:rsidRDefault="00D9702B" w:rsidP="006407C2">
      <w:pPr>
        <w:jc w:val="center"/>
        <w:rPr>
          <w:rFonts w:ascii="Arial" w:hAnsi="Arial" w:cs="Arial"/>
          <w:sz w:val="22"/>
          <w:szCs w:val="22"/>
        </w:rPr>
      </w:pPr>
    </w:p>
    <w:p w:rsidR="00D9702B" w:rsidRDefault="00D9702B" w:rsidP="006407C2">
      <w:pPr>
        <w:jc w:val="center"/>
        <w:rPr>
          <w:rFonts w:ascii="Arial" w:hAnsi="Arial" w:cs="Arial"/>
          <w:sz w:val="22"/>
          <w:szCs w:val="22"/>
        </w:rPr>
      </w:pPr>
    </w:p>
    <w:p w:rsidR="00D9702B" w:rsidRDefault="00D9702B" w:rsidP="006407C2">
      <w:pPr>
        <w:jc w:val="center"/>
        <w:rPr>
          <w:rFonts w:ascii="Arial" w:hAnsi="Arial" w:cs="Arial"/>
          <w:sz w:val="22"/>
          <w:szCs w:val="22"/>
        </w:rPr>
      </w:pPr>
    </w:p>
    <w:p w:rsidR="00D9702B" w:rsidRDefault="00D9702B" w:rsidP="006407C2">
      <w:pPr>
        <w:jc w:val="center"/>
        <w:rPr>
          <w:rFonts w:ascii="Arial" w:hAnsi="Arial" w:cs="Arial"/>
          <w:sz w:val="22"/>
          <w:szCs w:val="22"/>
        </w:rPr>
      </w:pPr>
    </w:p>
    <w:p w:rsidR="00D9702B" w:rsidRDefault="00D9702B" w:rsidP="006407C2">
      <w:pPr>
        <w:jc w:val="center"/>
        <w:rPr>
          <w:rFonts w:ascii="Arial" w:hAnsi="Arial" w:cs="Arial"/>
          <w:sz w:val="22"/>
          <w:szCs w:val="22"/>
        </w:rPr>
      </w:pPr>
    </w:p>
    <w:p w:rsidR="00D9702B" w:rsidRDefault="00D9702B" w:rsidP="006407C2">
      <w:pPr>
        <w:jc w:val="center"/>
        <w:rPr>
          <w:rFonts w:ascii="Arial" w:hAnsi="Arial" w:cs="Arial"/>
          <w:sz w:val="22"/>
          <w:szCs w:val="22"/>
        </w:rPr>
      </w:pPr>
    </w:p>
    <w:p w:rsidR="00D9702B" w:rsidRPr="006407C2" w:rsidRDefault="004C6947" w:rsidP="006407C2">
      <w:pPr>
        <w:jc w:val="center"/>
        <w:rPr>
          <w:rFonts w:ascii="Arial" w:hAnsi="Arial" w:cs="Arial"/>
          <w:sz w:val="22"/>
          <w:szCs w:val="22"/>
        </w:rPr>
      </w:pPr>
      <w:r>
        <w:rPr>
          <w:rFonts w:ascii="Arial" w:hAnsi="Arial" w:cs="Arial"/>
          <w:noProof/>
          <w:sz w:val="22"/>
          <w:szCs w:val="22"/>
        </w:rPr>
        <w:lastRenderedPageBreak/>
        <w:drawing>
          <wp:inline distT="0" distB="0" distL="0" distR="0">
            <wp:extent cx="1193800" cy="1193800"/>
            <wp:effectExtent l="0" t="0" r="6350" b="6350"/>
            <wp:docPr id="4" name="Picture 4" descr="SCV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V_RGB_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rsidR="00D9702B" w:rsidRPr="006407C2" w:rsidRDefault="00D9702B" w:rsidP="006407C2">
      <w:pPr>
        <w:rPr>
          <w:rFonts w:ascii="Arial" w:hAnsi="Arial" w:cs="Arial"/>
          <w:sz w:val="22"/>
          <w:szCs w:val="22"/>
        </w:rPr>
      </w:pPr>
    </w:p>
    <w:p w:rsidR="00D9702B" w:rsidRPr="006407C2" w:rsidRDefault="00D9702B" w:rsidP="006407C2">
      <w:pPr>
        <w:jc w:val="center"/>
        <w:rPr>
          <w:rFonts w:ascii="Arial" w:hAnsi="Arial" w:cs="Arial"/>
          <w:b/>
          <w:sz w:val="28"/>
          <w:szCs w:val="22"/>
        </w:rPr>
      </w:pPr>
      <w:r w:rsidRPr="006407C2">
        <w:rPr>
          <w:rFonts w:ascii="Arial" w:hAnsi="Arial" w:cs="Arial"/>
          <w:b/>
          <w:sz w:val="28"/>
          <w:szCs w:val="22"/>
        </w:rPr>
        <w:t>COURT OF APPEAL</w:t>
      </w:r>
    </w:p>
    <w:p w:rsidR="00D9702B" w:rsidRPr="006407C2" w:rsidRDefault="00D9702B" w:rsidP="006407C2">
      <w:pPr>
        <w:jc w:val="center"/>
        <w:rPr>
          <w:rFonts w:ascii="Arial" w:hAnsi="Arial" w:cs="Arial"/>
          <w:b/>
          <w:sz w:val="28"/>
          <w:szCs w:val="22"/>
        </w:rPr>
      </w:pPr>
      <w:r w:rsidRPr="006407C2">
        <w:rPr>
          <w:rFonts w:ascii="Arial" w:hAnsi="Arial" w:cs="Arial"/>
          <w:b/>
          <w:sz w:val="28"/>
          <w:szCs w:val="22"/>
        </w:rPr>
        <w:t>CRIMINAL APPEALS</w:t>
      </w:r>
      <w:r>
        <w:rPr>
          <w:rFonts w:ascii="Arial" w:hAnsi="Arial" w:cs="Arial"/>
          <w:b/>
          <w:sz w:val="28"/>
          <w:szCs w:val="22"/>
        </w:rPr>
        <w:t xml:space="preserve"> - AUGUST</w:t>
      </w:r>
    </w:p>
    <w:p w:rsidR="00D9702B" w:rsidRPr="006407C2" w:rsidRDefault="00D9702B" w:rsidP="006407C2">
      <w:pPr>
        <w:rPr>
          <w:rFonts w:ascii="Arial" w:hAnsi="Arial" w:cs="Arial"/>
          <w:sz w:val="22"/>
          <w:szCs w:val="2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1701"/>
        <w:gridCol w:w="1559"/>
        <w:gridCol w:w="1417"/>
        <w:gridCol w:w="1575"/>
        <w:gridCol w:w="1872"/>
        <w:gridCol w:w="1368"/>
        <w:gridCol w:w="1440"/>
      </w:tblGrid>
      <w:tr w:rsidR="00D9702B" w:rsidRPr="006407C2" w:rsidTr="00173415">
        <w:trPr>
          <w:cantSplit/>
          <w:tblHeader/>
        </w:trPr>
        <w:tc>
          <w:tcPr>
            <w:tcW w:w="1951"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Case</w:t>
            </w:r>
          </w:p>
        </w:tc>
        <w:tc>
          <w:tcPr>
            <w:tcW w:w="1985"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Primary charge(s)</w:t>
            </w:r>
          </w:p>
          <w:p w:rsidR="00D9702B" w:rsidRPr="006407C2" w:rsidRDefault="00D9702B" w:rsidP="006407C2">
            <w:pPr>
              <w:spacing w:before="40" w:after="40" w:line="24" w:lineRule="atLeast"/>
              <w:rPr>
                <w:rFonts w:ascii="Arial" w:hAnsi="Arial" w:cs="Arial"/>
                <w:b/>
              </w:rPr>
            </w:pPr>
          </w:p>
        </w:tc>
        <w:tc>
          <w:tcPr>
            <w:tcW w:w="1701"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Sentence</w:t>
            </w:r>
          </w:p>
        </w:tc>
        <w:tc>
          <w:tcPr>
            <w:tcW w:w="1559"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Nature of appeal</w:t>
            </w:r>
          </w:p>
        </w:tc>
        <w:tc>
          <w:tcPr>
            <w:tcW w:w="1417"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Outcome of appeal</w:t>
            </w:r>
          </w:p>
          <w:p w:rsidR="00D9702B" w:rsidRPr="006407C2" w:rsidRDefault="00D9702B" w:rsidP="006407C2">
            <w:pPr>
              <w:spacing w:before="40" w:after="40" w:line="24" w:lineRule="atLeast"/>
              <w:rPr>
                <w:rFonts w:ascii="Arial" w:hAnsi="Arial" w:cs="Arial"/>
                <w:b/>
              </w:rPr>
            </w:pPr>
          </w:p>
        </w:tc>
        <w:tc>
          <w:tcPr>
            <w:tcW w:w="1575"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Successful ground (if any)</w:t>
            </w:r>
          </w:p>
        </w:tc>
        <w:tc>
          <w:tcPr>
            <w:tcW w:w="1872"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New sentence (if any)</w:t>
            </w:r>
          </w:p>
        </w:tc>
        <w:tc>
          <w:tcPr>
            <w:tcW w:w="1368"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Date of judgment</w:t>
            </w:r>
          </w:p>
          <w:p w:rsidR="00D9702B" w:rsidRPr="006407C2" w:rsidRDefault="00D9702B" w:rsidP="006407C2">
            <w:pPr>
              <w:spacing w:before="40" w:after="40" w:line="24" w:lineRule="atLeast"/>
              <w:rPr>
                <w:rFonts w:ascii="Arial" w:hAnsi="Arial" w:cs="Arial"/>
                <w:b/>
              </w:rPr>
            </w:pPr>
          </w:p>
        </w:tc>
        <w:tc>
          <w:tcPr>
            <w:tcW w:w="1440" w:type="dxa"/>
          </w:tcPr>
          <w:p w:rsidR="00D9702B" w:rsidRPr="006407C2" w:rsidRDefault="00D9702B" w:rsidP="006407C2">
            <w:pPr>
              <w:spacing w:before="40" w:after="40" w:line="24" w:lineRule="atLeast"/>
              <w:rPr>
                <w:rFonts w:ascii="Arial" w:hAnsi="Arial" w:cs="Arial"/>
                <w:b/>
              </w:rPr>
            </w:pPr>
            <w:r w:rsidRPr="006407C2">
              <w:rPr>
                <w:rFonts w:ascii="Arial" w:hAnsi="Arial" w:cs="Arial"/>
                <w:b/>
                <w:sz w:val="22"/>
                <w:szCs w:val="22"/>
              </w:rPr>
              <w:t>Bench</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t xml:space="preserve">Gale v the Queen </w:t>
            </w:r>
            <w:r w:rsidRPr="006407C2">
              <w:rPr>
                <w:rFonts w:ascii="Arial" w:hAnsi="Arial" w:cs="Arial"/>
                <w:sz w:val="22"/>
                <w:szCs w:val="22"/>
              </w:rPr>
              <w:t>[2014] VSCA 168</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Pleaded guilty to  stalking (two charges), aggravated burglary (one charge) and threatening to inflict serious injury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Four years and six months’ imprisonment, non-parole period of two years and six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 xml:space="preserve">Manifest Excess </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Three years and 10 months’ imprisonment, non-parole period of one year and 10 months</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7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Weinberg, Whelan and Beach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Fernandez v the Queen </w:t>
            </w:r>
            <w:r w:rsidRPr="006407C2">
              <w:rPr>
                <w:rFonts w:ascii="Arial" w:hAnsi="Arial" w:cs="Arial"/>
                <w:sz w:val="22"/>
                <w:szCs w:val="22"/>
              </w:rPr>
              <w:t>[2014] VSCA 169</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Pleaded guilty to trafficking a drug of dependence (methyl amphetamine) (one charge), possessing a drug of dependence (testosterone) (one charge), common assault (one charge) and stalking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Four years and four months’ imprisonment, non-parole period of two years and 10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 xml:space="preserve">Manifest excess </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Four years’ imprisonment, non-parole period of two years and six months</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7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Weinberg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t xml:space="preserve">Xibberas v the Queen </w:t>
            </w:r>
            <w:r w:rsidRPr="006407C2">
              <w:rPr>
                <w:rFonts w:ascii="Arial" w:hAnsi="Arial" w:cs="Arial"/>
                <w:sz w:val="22"/>
                <w:szCs w:val="22"/>
              </w:rPr>
              <w:t>[2014] VSCA 170</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Pleaded guilty to theft (one charge), intentionally causing serious injury (one charge) and common assault (one summary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Five years and seven months’ imprisonment, non-parole period of three years and 11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Manifest excess</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Five years’ imprisonment, non-parole period of three years</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7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Osborn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Blair (a pseudonym) v the Queen </w:t>
            </w:r>
            <w:r w:rsidRPr="006407C2">
              <w:rPr>
                <w:rFonts w:ascii="Arial" w:hAnsi="Arial" w:cs="Arial"/>
                <w:sz w:val="22"/>
                <w:szCs w:val="22"/>
              </w:rPr>
              <w:t>[2014] VSCA 175</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Convicted incest (two charges)</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10 years’ imprisonment, non-parole period of eight years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and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dismissed. Appeal against sentence 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 xml:space="preserve">Manifest excess </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Seven years’ imprisonment, non-parole period of five years</w:t>
            </w:r>
          </w:p>
          <w:p w:rsidR="00D9702B" w:rsidRPr="006407C2" w:rsidRDefault="00D9702B" w:rsidP="006407C2">
            <w:pPr>
              <w:spacing w:line="288" w:lineRule="auto"/>
              <w:jc w:val="center"/>
              <w:rPr>
                <w:rFonts w:ascii="Arial" w:hAnsi="Arial" w:cs="Arial"/>
              </w:rPr>
            </w:pP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15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Weinberg, Whelan and Beach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McNaughton v the Queen </w:t>
            </w:r>
            <w:r w:rsidRPr="006407C2">
              <w:rPr>
                <w:rFonts w:ascii="Arial" w:hAnsi="Arial" w:cs="Arial"/>
                <w:sz w:val="22"/>
                <w:szCs w:val="22"/>
              </w:rPr>
              <w:t>[2014] VSCA 174</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Pleaded guilty to conspiracy to cultivate a drug of dependence  (cannabis, one charge), trafficking in a drug of dependence (methyl amphetamine, ecstasy, cocaine, MDA, LSD, five charges), possession of substances and equipment for trafficking (one charge) and possession of a precursor chemical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Six years and four months’ imprisonment, non-parole period of three years and 10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Dismissed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18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Hansen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Walker v the Queen </w:t>
            </w:r>
            <w:r w:rsidRPr="006407C2">
              <w:rPr>
                <w:rFonts w:ascii="Arial" w:hAnsi="Arial" w:cs="Arial"/>
                <w:sz w:val="22"/>
                <w:szCs w:val="22"/>
              </w:rPr>
              <w:t>[2014] VSCA 177</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Convicted recklessly causing injury (two charges)</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Three months’ imprisonment, 18 months’ community corrections order</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Risk that the jury could or would have been improperly influenced by the evidence of the appellant’s prior imprisonment</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Convictions quashed, matter remitted</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18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Weinberg, Osborn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t xml:space="preserve">Allen v the Queen </w:t>
            </w:r>
            <w:r w:rsidRPr="006407C2">
              <w:rPr>
                <w:rFonts w:ascii="Arial" w:hAnsi="Arial" w:cs="Arial"/>
                <w:sz w:val="22"/>
                <w:szCs w:val="22"/>
              </w:rPr>
              <w:t>[2014] VSCA 177</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Convicted dangerous driving causing death (one charge), dangerous driving causing serious injury (one charge), failing to stop after an accident (one charge) and failing to render assistance after an accident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Three years’ imprisonment, non-parole period of 18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Dismissed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20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Maxwell P, Neave and Kyrou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Hendricks v the Queen </w:t>
            </w:r>
            <w:r w:rsidRPr="006407C2">
              <w:rPr>
                <w:rFonts w:ascii="Arial" w:hAnsi="Arial" w:cs="Arial"/>
                <w:sz w:val="22"/>
                <w:szCs w:val="22"/>
              </w:rPr>
              <w:t>[2014] VSCA 185</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Convicted of cultivating a narcotic plant in a commercial quantity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18 months’ imprisonment, six months suspended for a period of 18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Fresh Evidence</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Eight months’ imprisonment</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21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Redlich and Weinberg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t xml:space="preserve">Giles v the Queen </w:t>
            </w:r>
            <w:r w:rsidRPr="006407C2">
              <w:rPr>
                <w:rFonts w:ascii="Arial" w:hAnsi="Arial" w:cs="Arial"/>
                <w:sz w:val="22"/>
                <w:szCs w:val="22"/>
              </w:rPr>
              <w:t>[2014] VSCA 183</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Convicted of murder (one charge), theft (two charges) and arson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26 years’ imprisonment, non-parole period of 21 years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Dismissed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22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Ashley 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t xml:space="preserve">Mike Hanna v the Queen; Mohamed Mohamed v the Queen; Ahmed Mohamed  v the Queen </w:t>
            </w:r>
            <w:r w:rsidRPr="006407C2">
              <w:rPr>
                <w:rFonts w:ascii="Arial" w:hAnsi="Arial" w:cs="Arial"/>
                <w:sz w:val="22"/>
                <w:szCs w:val="22"/>
              </w:rPr>
              <w:t>[2014] VSCA 187</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b/>
                <w:sz w:val="22"/>
                <w:szCs w:val="22"/>
              </w:rPr>
              <w:t xml:space="preserve">Hanna </w:t>
            </w:r>
            <w:r w:rsidRPr="006407C2">
              <w:rPr>
                <w:rFonts w:ascii="Arial" w:hAnsi="Arial" w:cs="Arial"/>
                <w:sz w:val="22"/>
                <w:szCs w:val="22"/>
              </w:rPr>
              <w:t>was convicted of kidnapping (one charge), false imprisonment (one charge) and intentionally causing injury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Nine years and six months’ imprisonment, non-parole period of seven years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and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dismissed; Appeal against sentence dismissed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26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Maxwell P, Neave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Mike Hanna v the Queen; Mohamed Mohamed v the Queen; Ahmed Mohamed  v the Queen </w:t>
            </w:r>
            <w:r w:rsidRPr="006407C2">
              <w:rPr>
                <w:rFonts w:ascii="Arial" w:hAnsi="Arial" w:cs="Arial"/>
                <w:sz w:val="22"/>
                <w:szCs w:val="22"/>
              </w:rPr>
              <w:t>[2014] VSCA 187</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b/>
                <w:sz w:val="22"/>
                <w:szCs w:val="22"/>
              </w:rPr>
              <w:t>Mohamed Mohamed</w:t>
            </w:r>
            <w:r w:rsidRPr="006407C2">
              <w:rPr>
                <w:rFonts w:ascii="Arial" w:hAnsi="Arial" w:cs="Arial"/>
                <w:sz w:val="22"/>
                <w:szCs w:val="22"/>
              </w:rPr>
              <w:t xml:space="preserve"> was convicted of kidnapping (one charge), false imprisonment (one charge) and intentionally causing injury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b/>
              </w:rPr>
            </w:pPr>
            <w:r w:rsidRPr="006407C2">
              <w:rPr>
                <w:rFonts w:ascii="Arial" w:hAnsi="Arial" w:cs="Arial"/>
                <w:sz w:val="22"/>
                <w:szCs w:val="22"/>
              </w:rPr>
              <w:t>Nine years and six months’ imprisonment, non-parole period of seven years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and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dismissed; Appeal against sentence 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Different roles in the offending, relative youth and better prospects of rehabilitation should have resulted in different sentences to that of another offender</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Eight years’ imprisonment, non-parole period of five years and six months’ imprisonment</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26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Maxwell P, Neave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t xml:space="preserve">Mike Hanna v the Queen; Mohamed Mohamed v the Queen; Ahmed Mohamed  v the Queen </w:t>
            </w:r>
            <w:r w:rsidRPr="006407C2">
              <w:rPr>
                <w:rFonts w:ascii="Arial" w:hAnsi="Arial" w:cs="Arial"/>
                <w:sz w:val="22"/>
                <w:szCs w:val="22"/>
              </w:rPr>
              <w:t>[2014] VSCA 187</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b/>
              </w:rPr>
            </w:pPr>
            <w:r w:rsidRPr="006407C2">
              <w:rPr>
                <w:rFonts w:ascii="Arial" w:hAnsi="Arial" w:cs="Arial"/>
                <w:b/>
                <w:sz w:val="22"/>
                <w:szCs w:val="22"/>
              </w:rPr>
              <w:t xml:space="preserve">Ahmed Mohamed </w:t>
            </w:r>
            <w:r w:rsidRPr="006407C2">
              <w:rPr>
                <w:rFonts w:ascii="Arial" w:hAnsi="Arial" w:cs="Arial"/>
                <w:sz w:val="22"/>
                <w:szCs w:val="22"/>
              </w:rPr>
              <w:t>was convicted of kidnapping (one charge), false imprisonment (one charge) and intentionally causing injury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b/>
              </w:rPr>
            </w:pPr>
            <w:r w:rsidRPr="006407C2">
              <w:rPr>
                <w:rFonts w:ascii="Arial" w:hAnsi="Arial" w:cs="Arial"/>
                <w:sz w:val="22"/>
                <w:szCs w:val="22"/>
              </w:rPr>
              <w:t>Nine years and six months’ imprisonment, non-parole period of seven years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and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 dismissed; Appeal against sentence 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Different roles in the offending, relative youth and better prospects of rehabilitation should have resulted in different sentences to that of another offender</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Eight years’ imprisonment, non-parole period of five years and six months’ imprisonment</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26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Maxwell P, Neave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Lewis v the Queen </w:t>
            </w:r>
            <w:r w:rsidRPr="006407C2">
              <w:rPr>
                <w:rFonts w:ascii="Arial" w:hAnsi="Arial" w:cs="Arial"/>
                <w:sz w:val="22"/>
                <w:szCs w:val="22"/>
              </w:rPr>
              <w:t>[2014] VSCA 188</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 xml:space="preserve">Convicted  of lodging a document with ASIC that is misleading in a material respect due to an omission under s 1308(2) of the </w:t>
            </w:r>
            <w:r w:rsidRPr="006407C2">
              <w:rPr>
                <w:rFonts w:ascii="Arial" w:hAnsi="Arial" w:cs="Arial"/>
                <w:i/>
                <w:sz w:val="22"/>
                <w:szCs w:val="22"/>
              </w:rPr>
              <w:t xml:space="preserve">Corporations Act 2001 </w:t>
            </w:r>
            <w:r w:rsidRPr="006407C2">
              <w:rPr>
                <w:rFonts w:ascii="Arial" w:hAnsi="Arial" w:cs="Arial"/>
                <w:sz w:val="22"/>
                <w:szCs w:val="22"/>
              </w:rPr>
              <w:t>(Cth)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12 months’ suspended sentence</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conviction</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Dismissed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26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Maxwell P, Weinberg and Kyrou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Saleem v the Queen </w:t>
            </w:r>
            <w:r w:rsidRPr="006407C2">
              <w:rPr>
                <w:rFonts w:ascii="Arial" w:hAnsi="Arial" w:cs="Arial"/>
                <w:sz w:val="22"/>
                <w:szCs w:val="22"/>
              </w:rPr>
              <w:t>[2014] VSCA 190</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Pleaded guilty to attempting to pervert the course of justice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14 months’ imprisonment, wholly cumulative upon sentences imposed for other offences</w:t>
            </w:r>
            <w:r w:rsidRPr="006407C2">
              <w:t xml:space="preserve"> </w:t>
            </w:r>
            <w:r w:rsidRPr="006407C2">
              <w:rPr>
                <w:rFonts w:ascii="Arial" w:hAnsi="Arial" w:cs="Arial"/>
                <w:sz w:val="22"/>
                <w:szCs w:val="22"/>
              </w:rPr>
              <w:t>on appeal from the County Court, total effective sentence of 20 months’ imprisonment, and non-parole period of 10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Manifest excess as the order for cumulation produced an overall sentence that does not reflect the principle of totality</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 xml:space="preserve">14 months’ imprisonment, 10 months to be served cumulatively upon sentences imposed for other offences resulting in an effective total sentence of 16 months’ imprisonment, non-parole period of eight months. </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26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Redlich and Priest JJA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Pilgrim v the Queen </w:t>
            </w:r>
            <w:r w:rsidRPr="006407C2">
              <w:rPr>
                <w:rFonts w:ascii="Arial" w:hAnsi="Arial" w:cs="Arial"/>
                <w:sz w:val="22"/>
                <w:szCs w:val="22"/>
              </w:rPr>
              <w:t>[2014] VSCA 191</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Pleaded guilty to theft of motor vehicles (one charge) stalking (one charge), false imprisonment (one charge), possession of explosive substances (one charge), aggravated burglary (one charge), intentionally causing injury (one charge), abduction (one charge), rape (four charges) and possession of child pornography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23 years and six months’ imprisonment, non-parole period of 19 years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Allowed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Infringement of totality principle – aggregate sentence involved excessive orders for cumulation</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18 years’ imprisonment, non-parole period of 14 years</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28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Nettle, Redlich JJA and Almond AJA</w:t>
            </w:r>
          </w:p>
        </w:tc>
      </w:tr>
      <w:tr w:rsidR="00D9702B" w:rsidRPr="006407C2" w:rsidTr="00173415">
        <w:trPr>
          <w:cantSplit/>
        </w:trPr>
        <w:tc>
          <w:tcPr>
            <w:tcW w:w="195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i/>
                <w:sz w:val="22"/>
                <w:szCs w:val="22"/>
              </w:rPr>
              <w:lastRenderedPageBreak/>
              <w:t xml:space="preserve">Curypko v the Queen </w:t>
            </w:r>
            <w:r w:rsidRPr="006407C2">
              <w:rPr>
                <w:rFonts w:ascii="Arial" w:hAnsi="Arial" w:cs="Arial"/>
                <w:sz w:val="22"/>
                <w:szCs w:val="22"/>
              </w:rPr>
              <w:t>[2014] VSCA 192</w:t>
            </w:r>
          </w:p>
        </w:tc>
        <w:tc>
          <w:tcPr>
            <w:tcW w:w="1985"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Pleaded guilty to intentionally causing serious injury (one charge)</w:t>
            </w:r>
          </w:p>
        </w:tc>
        <w:tc>
          <w:tcPr>
            <w:tcW w:w="1701" w:type="dxa"/>
          </w:tcPr>
          <w:p w:rsidR="00D9702B" w:rsidRPr="006407C2" w:rsidRDefault="00D9702B" w:rsidP="006407C2">
            <w:pPr>
              <w:autoSpaceDE w:val="0"/>
              <w:autoSpaceDN w:val="0"/>
              <w:adjustRightInd w:val="0"/>
              <w:spacing w:before="40" w:after="40" w:line="24" w:lineRule="atLeast"/>
              <w:rPr>
                <w:rFonts w:ascii="Arial" w:hAnsi="Arial" w:cs="Arial"/>
              </w:rPr>
            </w:pPr>
            <w:r w:rsidRPr="006407C2">
              <w:rPr>
                <w:rFonts w:ascii="Arial" w:hAnsi="Arial" w:cs="Arial"/>
                <w:sz w:val="22"/>
                <w:szCs w:val="22"/>
              </w:rPr>
              <w:t>Five years’ imprisonment, non-parole period of two years and six months</w:t>
            </w:r>
          </w:p>
        </w:tc>
        <w:tc>
          <w:tcPr>
            <w:tcW w:w="1559"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Appeal against sentence</w:t>
            </w:r>
          </w:p>
        </w:tc>
        <w:tc>
          <w:tcPr>
            <w:tcW w:w="1417"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Dismissed</w:t>
            </w:r>
          </w:p>
        </w:tc>
        <w:tc>
          <w:tcPr>
            <w:tcW w:w="1575"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872"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N/A</w:t>
            </w:r>
          </w:p>
        </w:tc>
        <w:tc>
          <w:tcPr>
            <w:tcW w:w="1368"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29 August 2014</w:t>
            </w:r>
          </w:p>
        </w:tc>
        <w:tc>
          <w:tcPr>
            <w:tcW w:w="1440" w:type="dxa"/>
          </w:tcPr>
          <w:p w:rsidR="00D9702B" w:rsidRPr="006407C2" w:rsidRDefault="00D9702B" w:rsidP="006407C2">
            <w:pPr>
              <w:spacing w:before="40" w:after="40" w:line="24" w:lineRule="atLeast"/>
              <w:rPr>
                <w:rFonts w:ascii="Arial" w:hAnsi="Arial" w:cs="Arial"/>
              </w:rPr>
            </w:pPr>
            <w:r w:rsidRPr="006407C2">
              <w:rPr>
                <w:rFonts w:ascii="Arial" w:hAnsi="Arial" w:cs="Arial"/>
                <w:sz w:val="22"/>
                <w:szCs w:val="22"/>
              </w:rPr>
              <w:t>Ashley and Neave JJA</w:t>
            </w:r>
          </w:p>
        </w:tc>
      </w:tr>
    </w:tbl>
    <w:p w:rsidR="00D9702B" w:rsidRPr="0004766B" w:rsidRDefault="00D9702B">
      <w:pPr>
        <w:rPr>
          <w:rFonts w:ascii="Arial" w:hAnsi="Arial" w:cs="Arial"/>
          <w:sz w:val="22"/>
          <w:szCs w:val="22"/>
        </w:rPr>
      </w:pPr>
    </w:p>
    <w:sectPr w:rsidR="00D9702B" w:rsidRPr="0004766B" w:rsidSect="00423BF7">
      <w:pgSz w:w="16838" w:h="11906" w:orient="landscape"/>
      <w:pgMar w:top="1800" w:right="1440" w:bottom="180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2B" w:rsidRDefault="00D9702B" w:rsidP="006407C2">
      <w:r>
        <w:separator/>
      </w:r>
    </w:p>
  </w:endnote>
  <w:endnote w:type="continuationSeparator" w:id="0">
    <w:p w:rsidR="00D9702B" w:rsidRDefault="00D9702B" w:rsidP="0064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2B" w:rsidRDefault="00D9702B" w:rsidP="006407C2">
      <w:r>
        <w:separator/>
      </w:r>
    </w:p>
  </w:footnote>
  <w:footnote w:type="continuationSeparator" w:id="0">
    <w:p w:rsidR="00D9702B" w:rsidRDefault="00D9702B" w:rsidP="006407C2">
      <w:r>
        <w:continuationSeparator/>
      </w:r>
    </w:p>
  </w:footnote>
  <w:footnote w:id="1">
    <w:p w:rsidR="00D9702B" w:rsidRDefault="00D9702B" w:rsidP="006407C2">
      <w:pPr>
        <w:pStyle w:val="FootnoteText"/>
      </w:pPr>
      <w:r>
        <w:rPr>
          <w:rStyle w:val="FootnoteReference"/>
        </w:rPr>
        <w:footnoteRef/>
      </w:r>
      <w:r>
        <w:t xml:space="preserve"> Application for leave by election, pursuant to s 315 of the </w:t>
      </w:r>
      <w:r>
        <w:rPr>
          <w:i/>
        </w:rPr>
        <w:t xml:space="preserve">Criminal Procedure Act 2009 </w:t>
      </w:r>
      <w:r>
        <w:t>(Vic).</w:t>
      </w:r>
    </w:p>
  </w:footnote>
  <w:footnote w:id="2">
    <w:p w:rsidR="00D9702B" w:rsidRDefault="00D9702B" w:rsidP="006407C2">
      <w:pPr>
        <w:pStyle w:val="FootnoteText"/>
      </w:pPr>
      <w:r>
        <w:rPr>
          <w:rStyle w:val="FootnoteReference"/>
        </w:rPr>
        <w:footnoteRef/>
      </w:r>
      <w:r>
        <w:t xml:space="preserve"> Application for leave by election, pursuant to s 315 of the </w:t>
      </w:r>
      <w:r>
        <w:rPr>
          <w:i/>
        </w:rPr>
        <w:t xml:space="preserve">Criminal Procedure Act 2009 </w:t>
      </w:r>
      <w:r>
        <w:t>(Vic).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25"/>
    <w:rsid w:val="000017B5"/>
    <w:rsid w:val="000154CE"/>
    <w:rsid w:val="00030F5C"/>
    <w:rsid w:val="00045F13"/>
    <w:rsid w:val="0004766B"/>
    <w:rsid w:val="00050EDF"/>
    <w:rsid w:val="00082A1B"/>
    <w:rsid w:val="000A1634"/>
    <w:rsid w:val="00107941"/>
    <w:rsid w:val="001730C0"/>
    <w:rsid w:val="00173415"/>
    <w:rsid w:val="001F1D80"/>
    <w:rsid w:val="00223BDE"/>
    <w:rsid w:val="00266ECE"/>
    <w:rsid w:val="00273271"/>
    <w:rsid w:val="00276A61"/>
    <w:rsid w:val="00280622"/>
    <w:rsid w:val="002B19E8"/>
    <w:rsid w:val="002B3372"/>
    <w:rsid w:val="002B4874"/>
    <w:rsid w:val="002C2B4F"/>
    <w:rsid w:val="002C6105"/>
    <w:rsid w:val="00327220"/>
    <w:rsid w:val="00345315"/>
    <w:rsid w:val="003672F5"/>
    <w:rsid w:val="003C207B"/>
    <w:rsid w:val="0041115C"/>
    <w:rsid w:val="00423BF7"/>
    <w:rsid w:val="0045330C"/>
    <w:rsid w:val="00476C81"/>
    <w:rsid w:val="004945DE"/>
    <w:rsid w:val="004C6525"/>
    <w:rsid w:val="004C6947"/>
    <w:rsid w:val="004C7984"/>
    <w:rsid w:val="004E4230"/>
    <w:rsid w:val="004F1099"/>
    <w:rsid w:val="005260E0"/>
    <w:rsid w:val="00530C1F"/>
    <w:rsid w:val="00551542"/>
    <w:rsid w:val="00570F9E"/>
    <w:rsid w:val="0057726E"/>
    <w:rsid w:val="005A57C6"/>
    <w:rsid w:val="005C06B2"/>
    <w:rsid w:val="005C54A1"/>
    <w:rsid w:val="005F6F7E"/>
    <w:rsid w:val="00632119"/>
    <w:rsid w:val="006407C2"/>
    <w:rsid w:val="00663C1C"/>
    <w:rsid w:val="00671A92"/>
    <w:rsid w:val="00683E9B"/>
    <w:rsid w:val="0069324C"/>
    <w:rsid w:val="006A1859"/>
    <w:rsid w:val="006B6739"/>
    <w:rsid w:val="006C5D68"/>
    <w:rsid w:val="00727416"/>
    <w:rsid w:val="00795D09"/>
    <w:rsid w:val="007B449B"/>
    <w:rsid w:val="007C52E4"/>
    <w:rsid w:val="007D1BBA"/>
    <w:rsid w:val="007E5758"/>
    <w:rsid w:val="007F787D"/>
    <w:rsid w:val="008162DB"/>
    <w:rsid w:val="00825696"/>
    <w:rsid w:val="00841C29"/>
    <w:rsid w:val="00843AA8"/>
    <w:rsid w:val="008723F9"/>
    <w:rsid w:val="00887313"/>
    <w:rsid w:val="008B36E0"/>
    <w:rsid w:val="008B7C0B"/>
    <w:rsid w:val="008C3416"/>
    <w:rsid w:val="008C5E5D"/>
    <w:rsid w:val="008D0331"/>
    <w:rsid w:val="008D77E2"/>
    <w:rsid w:val="008E6E36"/>
    <w:rsid w:val="00902EFA"/>
    <w:rsid w:val="00920445"/>
    <w:rsid w:val="00925AF2"/>
    <w:rsid w:val="00971E25"/>
    <w:rsid w:val="009A618D"/>
    <w:rsid w:val="009E1CFE"/>
    <w:rsid w:val="00A020EE"/>
    <w:rsid w:val="00A15535"/>
    <w:rsid w:val="00A20A2A"/>
    <w:rsid w:val="00A64C85"/>
    <w:rsid w:val="00A85645"/>
    <w:rsid w:val="00AF38FA"/>
    <w:rsid w:val="00B46615"/>
    <w:rsid w:val="00B47FB8"/>
    <w:rsid w:val="00B54137"/>
    <w:rsid w:val="00B5541E"/>
    <w:rsid w:val="00BB0572"/>
    <w:rsid w:val="00C23C95"/>
    <w:rsid w:val="00D75DB7"/>
    <w:rsid w:val="00D77031"/>
    <w:rsid w:val="00D83D29"/>
    <w:rsid w:val="00D9702B"/>
    <w:rsid w:val="00DB4B0E"/>
    <w:rsid w:val="00DB60B6"/>
    <w:rsid w:val="00E15A9F"/>
    <w:rsid w:val="00E23CE7"/>
    <w:rsid w:val="00EB1A0E"/>
    <w:rsid w:val="00EB400F"/>
    <w:rsid w:val="00EB6205"/>
    <w:rsid w:val="00F102A9"/>
    <w:rsid w:val="00F2650D"/>
    <w:rsid w:val="00F32175"/>
    <w:rsid w:val="00F32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71E25"/>
    <w:pPr>
      <w:spacing w:line="288"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71E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E25"/>
    <w:rPr>
      <w:rFonts w:ascii="Tahoma" w:hAnsi="Tahoma" w:cs="Tahoma"/>
      <w:sz w:val="16"/>
      <w:szCs w:val="16"/>
      <w:lang w:eastAsia="en-AU"/>
    </w:rPr>
  </w:style>
  <w:style w:type="character" w:styleId="CommentReference">
    <w:name w:val="annotation reference"/>
    <w:basedOn w:val="DefaultParagraphFont"/>
    <w:uiPriority w:val="99"/>
    <w:semiHidden/>
    <w:rsid w:val="00DB4B0E"/>
    <w:rPr>
      <w:rFonts w:cs="Times New Roman"/>
      <w:sz w:val="16"/>
      <w:szCs w:val="16"/>
    </w:rPr>
  </w:style>
  <w:style w:type="paragraph" w:styleId="CommentText">
    <w:name w:val="annotation text"/>
    <w:basedOn w:val="Normal"/>
    <w:link w:val="CommentTextChar"/>
    <w:uiPriority w:val="99"/>
    <w:semiHidden/>
    <w:rsid w:val="00DB4B0E"/>
    <w:rPr>
      <w:sz w:val="20"/>
      <w:szCs w:val="20"/>
    </w:rPr>
  </w:style>
  <w:style w:type="character" w:customStyle="1" w:styleId="CommentTextChar">
    <w:name w:val="Comment Text Char"/>
    <w:basedOn w:val="DefaultParagraphFont"/>
    <w:link w:val="CommentText"/>
    <w:uiPriority w:val="99"/>
    <w:semiHidden/>
    <w:locked/>
    <w:rsid w:val="00DB4B0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DB4B0E"/>
    <w:rPr>
      <w:b/>
      <w:bCs/>
    </w:rPr>
  </w:style>
  <w:style w:type="character" w:customStyle="1" w:styleId="CommentSubjectChar">
    <w:name w:val="Comment Subject Char"/>
    <w:basedOn w:val="CommentTextChar"/>
    <w:link w:val="CommentSubject"/>
    <w:uiPriority w:val="99"/>
    <w:semiHidden/>
    <w:locked/>
    <w:rsid w:val="00DB4B0E"/>
    <w:rPr>
      <w:rFonts w:ascii="Times New Roman" w:hAnsi="Times New Roman" w:cs="Times New Roman"/>
      <w:b/>
      <w:bCs/>
      <w:sz w:val="20"/>
      <w:szCs w:val="20"/>
      <w:lang w:eastAsia="en-AU"/>
    </w:rPr>
  </w:style>
  <w:style w:type="paragraph" w:styleId="FootnoteText">
    <w:name w:val="footnote text"/>
    <w:basedOn w:val="Normal"/>
    <w:link w:val="FootnoteTextChar"/>
    <w:uiPriority w:val="99"/>
    <w:semiHidden/>
    <w:rsid w:val="006407C2"/>
    <w:rPr>
      <w:sz w:val="20"/>
      <w:szCs w:val="20"/>
    </w:rPr>
  </w:style>
  <w:style w:type="character" w:customStyle="1" w:styleId="FootnoteTextChar">
    <w:name w:val="Footnote Text Char"/>
    <w:basedOn w:val="DefaultParagraphFont"/>
    <w:link w:val="FootnoteText"/>
    <w:uiPriority w:val="99"/>
    <w:semiHidden/>
    <w:locked/>
    <w:rsid w:val="006407C2"/>
    <w:rPr>
      <w:rFonts w:ascii="Times New Roman" w:hAnsi="Times New Roman" w:cs="Times New Roman"/>
      <w:sz w:val="20"/>
      <w:szCs w:val="20"/>
      <w:lang w:eastAsia="en-AU"/>
    </w:rPr>
  </w:style>
  <w:style w:type="character" w:styleId="FootnoteReference">
    <w:name w:val="footnote reference"/>
    <w:basedOn w:val="DefaultParagraphFont"/>
    <w:uiPriority w:val="99"/>
    <w:semiHidden/>
    <w:rsid w:val="006407C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71E25"/>
    <w:pPr>
      <w:spacing w:line="288"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71E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E25"/>
    <w:rPr>
      <w:rFonts w:ascii="Tahoma" w:hAnsi="Tahoma" w:cs="Tahoma"/>
      <w:sz w:val="16"/>
      <w:szCs w:val="16"/>
      <w:lang w:eastAsia="en-AU"/>
    </w:rPr>
  </w:style>
  <w:style w:type="character" w:styleId="CommentReference">
    <w:name w:val="annotation reference"/>
    <w:basedOn w:val="DefaultParagraphFont"/>
    <w:uiPriority w:val="99"/>
    <w:semiHidden/>
    <w:rsid w:val="00DB4B0E"/>
    <w:rPr>
      <w:rFonts w:cs="Times New Roman"/>
      <w:sz w:val="16"/>
      <w:szCs w:val="16"/>
    </w:rPr>
  </w:style>
  <w:style w:type="paragraph" w:styleId="CommentText">
    <w:name w:val="annotation text"/>
    <w:basedOn w:val="Normal"/>
    <w:link w:val="CommentTextChar"/>
    <w:uiPriority w:val="99"/>
    <w:semiHidden/>
    <w:rsid w:val="00DB4B0E"/>
    <w:rPr>
      <w:sz w:val="20"/>
      <w:szCs w:val="20"/>
    </w:rPr>
  </w:style>
  <w:style w:type="character" w:customStyle="1" w:styleId="CommentTextChar">
    <w:name w:val="Comment Text Char"/>
    <w:basedOn w:val="DefaultParagraphFont"/>
    <w:link w:val="CommentText"/>
    <w:uiPriority w:val="99"/>
    <w:semiHidden/>
    <w:locked/>
    <w:rsid w:val="00DB4B0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DB4B0E"/>
    <w:rPr>
      <w:b/>
      <w:bCs/>
    </w:rPr>
  </w:style>
  <w:style w:type="character" w:customStyle="1" w:styleId="CommentSubjectChar">
    <w:name w:val="Comment Subject Char"/>
    <w:basedOn w:val="CommentTextChar"/>
    <w:link w:val="CommentSubject"/>
    <w:uiPriority w:val="99"/>
    <w:semiHidden/>
    <w:locked/>
    <w:rsid w:val="00DB4B0E"/>
    <w:rPr>
      <w:rFonts w:ascii="Times New Roman" w:hAnsi="Times New Roman" w:cs="Times New Roman"/>
      <w:b/>
      <w:bCs/>
      <w:sz w:val="20"/>
      <w:szCs w:val="20"/>
      <w:lang w:eastAsia="en-AU"/>
    </w:rPr>
  </w:style>
  <w:style w:type="paragraph" w:styleId="FootnoteText">
    <w:name w:val="footnote text"/>
    <w:basedOn w:val="Normal"/>
    <w:link w:val="FootnoteTextChar"/>
    <w:uiPriority w:val="99"/>
    <w:semiHidden/>
    <w:rsid w:val="006407C2"/>
    <w:rPr>
      <w:sz w:val="20"/>
      <w:szCs w:val="20"/>
    </w:rPr>
  </w:style>
  <w:style w:type="character" w:customStyle="1" w:styleId="FootnoteTextChar">
    <w:name w:val="Footnote Text Char"/>
    <w:basedOn w:val="DefaultParagraphFont"/>
    <w:link w:val="FootnoteText"/>
    <w:uiPriority w:val="99"/>
    <w:semiHidden/>
    <w:locked/>
    <w:rsid w:val="006407C2"/>
    <w:rPr>
      <w:rFonts w:ascii="Times New Roman" w:hAnsi="Times New Roman" w:cs="Times New Roman"/>
      <w:sz w:val="20"/>
      <w:szCs w:val="20"/>
      <w:lang w:eastAsia="en-AU"/>
    </w:rPr>
  </w:style>
  <w:style w:type="character" w:styleId="FootnoteReference">
    <w:name w:val="footnote reference"/>
    <w:basedOn w:val="DefaultParagraphFont"/>
    <w:uiPriority w:val="99"/>
    <w:semiHidden/>
    <w:rsid w:val="006407C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 Victoria</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Kiri McEwan</dc:creator>
  <cp:keywords/>
  <dc:description/>
  <cp:lastModifiedBy>Freya Dougan</cp:lastModifiedBy>
  <cp:revision>2</cp:revision>
  <dcterms:created xsi:type="dcterms:W3CDTF">2015-02-01T23:50:00Z</dcterms:created>
  <dcterms:modified xsi:type="dcterms:W3CDTF">2015-02-01T23:50:00Z</dcterms:modified>
</cp:coreProperties>
</file>