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56A3525D"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CC</w:t>
      </w:r>
      <w:r w:rsidR="00B72C47" w:rsidRPr="007917BE">
        <w:rPr>
          <w:rFonts w:ascii="Book Antiqua" w:hAnsi="Book Antiqua"/>
          <w:b/>
          <w:color w:val="000000"/>
          <w:sz w:val="28"/>
        </w:rPr>
        <w:t xml:space="preserve"> </w:t>
      </w:r>
      <w:r w:rsidR="0049326B">
        <w:rPr>
          <w:rFonts w:ascii="Book Antiqua" w:hAnsi="Book Antiqua"/>
          <w:b/>
          <w:color w:val="000000"/>
          <w:sz w:val="28"/>
        </w:rPr>
        <w:t>8</w:t>
      </w:r>
    </w:p>
    <w:p w14:paraId="02D8B7A1" w14:textId="7D6751F8" w:rsidR="00CD0331" w:rsidRDefault="0049326B"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Oppressive conduct of the affairs of a company</w:t>
      </w:r>
    </w:p>
    <w:p w14:paraId="3495365B" w14:textId="77777777" w:rsidR="00DF2D10" w:rsidRPr="007917BE" w:rsidRDefault="00DF2D10"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281B95A2" w14:textId="6FB71FAC" w:rsidR="0008041A" w:rsidRPr="003007F8" w:rsidRDefault="0008041A" w:rsidP="00CD0331">
      <w:pPr>
        <w:pStyle w:val="ListParagraph"/>
        <w:numPr>
          <w:ilvl w:val="1"/>
          <w:numId w:val="23"/>
        </w:numPr>
        <w:spacing w:before="120" w:after="120"/>
        <w:jc w:val="both"/>
        <w:rPr>
          <w:rFonts w:ascii="Book Antiqua" w:hAnsi="Book Antiqua"/>
          <w:sz w:val="24"/>
          <w:szCs w:val="24"/>
        </w:rPr>
      </w:pPr>
      <w:r w:rsidRPr="003007F8">
        <w:rPr>
          <w:rFonts w:ascii="Book Antiqua" w:hAnsi="Book Antiqua"/>
          <w:sz w:val="24"/>
          <w:szCs w:val="24"/>
        </w:rPr>
        <w:t>Thi</w:t>
      </w:r>
      <w:r w:rsidR="00BE48CB">
        <w:rPr>
          <w:rFonts w:ascii="Book Antiqua" w:hAnsi="Book Antiqua"/>
          <w:sz w:val="24"/>
          <w:szCs w:val="24"/>
        </w:rPr>
        <w:t>s Practice Note was issued on 19</w:t>
      </w:r>
      <w:r w:rsidRPr="003007F8">
        <w:rPr>
          <w:rFonts w:ascii="Book Antiqua" w:hAnsi="Book Antiqua"/>
          <w:sz w:val="24"/>
          <w:szCs w:val="24"/>
        </w:rPr>
        <w:t xml:space="preserve"> July 2017 and replaced the version issued on 30 January 2017. </w:t>
      </w:r>
    </w:p>
    <w:p w14:paraId="1C21A4E1" w14:textId="45483F4B"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775B929F" w14:textId="48923551" w:rsidR="00DF2D10" w:rsidRPr="00DF2D10" w:rsidRDefault="0049326B" w:rsidP="0049326B">
      <w:pPr>
        <w:pStyle w:val="ListParagraph"/>
        <w:numPr>
          <w:ilvl w:val="1"/>
          <w:numId w:val="23"/>
        </w:numPr>
        <w:rPr>
          <w:rFonts w:ascii="Book Antiqua" w:hAnsi="Book Antiqua"/>
          <w:sz w:val="24"/>
          <w:szCs w:val="24"/>
        </w:rPr>
      </w:pPr>
      <w:r w:rsidRPr="0049326B">
        <w:rPr>
          <w:rFonts w:ascii="Book Antiqua" w:hAnsi="Book Antiqua"/>
          <w:sz w:val="24"/>
          <w:szCs w:val="24"/>
        </w:rPr>
        <w:t xml:space="preserve">The purpose of this Practice Note is to describe the procedures to be followed for applications made pursuant to s 233 of the </w:t>
      </w:r>
      <w:r w:rsidRPr="0049326B">
        <w:rPr>
          <w:rFonts w:ascii="Book Antiqua" w:hAnsi="Book Antiqua"/>
          <w:i/>
          <w:sz w:val="24"/>
          <w:szCs w:val="24"/>
        </w:rPr>
        <w:t xml:space="preserve">Corporations Act </w:t>
      </w:r>
      <w:r w:rsidRPr="00447BBF">
        <w:rPr>
          <w:rFonts w:ascii="Book Antiqua" w:hAnsi="Book Antiqua"/>
          <w:sz w:val="24"/>
          <w:szCs w:val="24"/>
        </w:rPr>
        <w:t>2001</w:t>
      </w:r>
      <w:r w:rsidRPr="0049326B">
        <w:rPr>
          <w:rFonts w:ascii="Book Antiqua" w:hAnsi="Book Antiqua"/>
          <w:sz w:val="24"/>
          <w:szCs w:val="24"/>
        </w:rPr>
        <w:t xml:space="preserve"> (Cth).</w:t>
      </w:r>
    </w:p>
    <w:p w14:paraId="1A19A576" w14:textId="77777777"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634B9528" w14:textId="2B3B29BC"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40143244" w14:textId="406D64FF" w:rsidR="00FD72DE" w:rsidRPr="00277B7B" w:rsidRDefault="008C5086" w:rsidP="00DF2D10">
      <w:pPr>
        <w:pStyle w:val="ListParagraph"/>
        <w:numPr>
          <w:ilvl w:val="1"/>
          <w:numId w:val="24"/>
        </w:numPr>
        <w:spacing w:before="120" w:after="120"/>
        <w:ind w:left="720" w:hanging="720"/>
        <w:jc w:val="both"/>
        <w:rPr>
          <w:rFonts w:ascii="Book Antiqua" w:hAnsi="Book Antiqua"/>
          <w:sz w:val="24"/>
          <w:szCs w:val="24"/>
        </w:rPr>
      </w:pPr>
      <w:r w:rsidRPr="006548AB">
        <w:rPr>
          <w:rFonts w:ascii="Book Antiqua" w:hAnsi="Book Antiqua"/>
          <w:sz w:val="24"/>
          <w:szCs w:val="24"/>
        </w:rPr>
        <w:t>This Practice Note was issued on 30 January 2017.  The Practice Note, as revised, will apply to all</w:t>
      </w:r>
      <w:r w:rsidR="001F4B82">
        <w:rPr>
          <w:rFonts w:ascii="Book Antiqua" w:hAnsi="Book Antiqua"/>
          <w:sz w:val="24"/>
          <w:szCs w:val="24"/>
        </w:rPr>
        <w:t xml:space="preserve"> relevant proceedings </w:t>
      </w:r>
      <w:bookmarkStart w:id="0" w:name="_GoBack"/>
      <w:bookmarkEnd w:id="0"/>
      <w:r w:rsidRPr="006548AB">
        <w:rPr>
          <w:rFonts w:ascii="Book Antiqua" w:hAnsi="Book Antiqua"/>
          <w:sz w:val="24"/>
          <w:szCs w:val="24"/>
        </w:rPr>
        <w:t>in the Corporations List from 31 July 2017.</w:t>
      </w:r>
      <w:r w:rsidRPr="006548AB">
        <w:rPr>
          <w:sz w:val="24"/>
          <w:szCs w:val="24"/>
        </w:rPr>
        <w:t xml:space="preserve"> </w:t>
      </w:r>
    </w:p>
    <w:p w14:paraId="3555EE5D" w14:textId="77777777" w:rsidR="006C550C" w:rsidRPr="007917BE" w:rsidRDefault="006C550C" w:rsidP="00CD0331">
      <w:pPr>
        <w:spacing w:before="120" w:after="120"/>
        <w:ind w:left="720" w:hanging="720"/>
        <w:jc w:val="both"/>
        <w:rPr>
          <w:rFonts w:ascii="Book Antiqua" w:hAnsi="Book Antiqua"/>
        </w:rPr>
      </w:pPr>
    </w:p>
    <w:p w14:paraId="4B41410B" w14:textId="055630B2"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50FDD10D" w14:textId="4F727F6A" w:rsidR="007917BE" w:rsidRDefault="006F60CF" w:rsidP="00DF2D10">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11F885F2" w14:textId="77777777" w:rsidR="00DF2D10" w:rsidRDefault="00DF2D10" w:rsidP="00DF2D10">
      <w:pPr>
        <w:pStyle w:val="ListParagraph"/>
        <w:spacing w:before="120" w:after="120"/>
        <w:jc w:val="both"/>
        <w:rPr>
          <w:rFonts w:ascii="Book Antiqua" w:hAnsi="Book Antiqua"/>
          <w:b/>
          <w:i/>
          <w:sz w:val="24"/>
          <w:szCs w:val="24"/>
        </w:rPr>
      </w:pPr>
    </w:p>
    <w:p w14:paraId="4BEBE7D8" w14:textId="77777777" w:rsidR="0049326B" w:rsidRPr="0049326B" w:rsidRDefault="0049326B" w:rsidP="0049326B">
      <w:pPr>
        <w:pStyle w:val="ListParagraph"/>
        <w:spacing w:before="120" w:after="120"/>
        <w:jc w:val="both"/>
        <w:rPr>
          <w:rFonts w:ascii="Book Antiqua" w:hAnsi="Book Antiqua"/>
          <w:sz w:val="24"/>
          <w:szCs w:val="24"/>
        </w:rPr>
      </w:pPr>
      <w:r w:rsidRPr="0049326B">
        <w:rPr>
          <w:rFonts w:ascii="Book Antiqua" w:hAnsi="Book Antiqua"/>
          <w:b/>
          <w:i/>
          <w:sz w:val="24"/>
          <w:szCs w:val="24"/>
        </w:rPr>
        <w:t xml:space="preserve">Act </w:t>
      </w:r>
      <w:r w:rsidRPr="0049326B">
        <w:rPr>
          <w:rFonts w:ascii="Book Antiqua" w:hAnsi="Book Antiqua"/>
          <w:sz w:val="24"/>
          <w:szCs w:val="24"/>
        </w:rPr>
        <w:t xml:space="preserve">means the </w:t>
      </w:r>
      <w:r w:rsidRPr="0049326B">
        <w:rPr>
          <w:rFonts w:ascii="Book Antiqua" w:hAnsi="Book Antiqua"/>
          <w:i/>
          <w:sz w:val="24"/>
          <w:szCs w:val="24"/>
        </w:rPr>
        <w:t xml:space="preserve">Corporations Act </w:t>
      </w:r>
      <w:r w:rsidRPr="00447BBF">
        <w:rPr>
          <w:rFonts w:ascii="Book Antiqua" w:hAnsi="Book Antiqua"/>
          <w:sz w:val="24"/>
          <w:szCs w:val="24"/>
        </w:rPr>
        <w:t>2001</w:t>
      </w:r>
      <w:r w:rsidRPr="0049326B">
        <w:rPr>
          <w:rFonts w:ascii="Book Antiqua" w:hAnsi="Book Antiqua"/>
          <w:sz w:val="24"/>
          <w:szCs w:val="24"/>
        </w:rPr>
        <w:t xml:space="preserve"> (Cth) </w:t>
      </w:r>
    </w:p>
    <w:p w14:paraId="342A1FB6" w14:textId="77777777" w:rsidR="0049326B" w:rsidRPr="0049326B" w:rsidRDefault="0049326B" w:rsidP="0049326B">
      <w:pPr>
        <w:pStyle w:val="ListParagraph"/>
        <w:spacing w:before="120" w:after="120"/>
        <w:jc w:val="both"/>
        <w:rPr>
          <w:rFonts w:ascii="Book Antiqua" w:hAnsi="Book Antiqua"/>
          <w:sz w:val="24"/>
          <w:szCs w:val="24"/>
        </w:rPr>
      </w:pPr>
      <w:r w:rsidRPr="0049326B">
        <w:rPr>
          <w:rFonts w:ascii="Book Antiqua" w:hAnsi="Book Antiqua"/>
          <w:b/>
          <w:i/>
          <w:sz w:val="24"/>
          <w:szCs w:val="24"/>
        </w:rPr>
        <w:t xml:space="preserve">ASIC </w:t>
      </w:r>
      <w:r w:rsidRPr="0049326B">
        <w:rPr>
          <w:rFonts w:ascii="Book Antiqua" w:hAnsi="Book Antiqua"/>
          <w:sz w:val="24"/>
          <w:szCs w:val="24"/>
        </w:rPr>
        <w:t xml:space="preserve">means the Australian Securities and Investments Commission </w:t>
      </w:r>
    </w:p>
    <w:p w14:paraId="4F0F6594" w14:textId="77777777" w:rsidR="0049326B" w:rsidRPr="0049326B" w:rsidRDefault="0049326B" w:rsidP="0049326B">
      <w:pPr>
        <w:pStyle w:val="ListParagraph"/>
        <w:spacing w:before="120" w:after="120"/>
        <w:jc w:val="both"/>
        <w:rPr>
          <w:rFonts w:ascii="Book Antiqua" w:hAnsi="Book Antiqua"/>
          <w:sz w:val="24"/>
          <w:szCs w:val="24"/>
        </w:rPr>
      </w:pPr>
      <w:r w:rsidRPr="0049326B">
        <w:rPr>
          <w:rFonts w:ascii="Book Antiqua" w:hAnsi="Book Antiqua"/>
          <w:b/>
          <w:i/>
          <w:sz w:val="24"/>
          <w:szCs w:val="24"/>
        </w:rPr>
        <w:t xml:space="preserve">Pilot </w:t>
      </w:r>
      <w:r w:rsidRPr="0049326B">
        <w:rPr>
          <w:rFonts w:ascii="Book Antiqua" w:hAnsi="Book Antiqua"/>
          <w:sz w:val="24"/>
          <w:szCs w:val="24"/>
        </w:rPr>
        <w:t>means the pilot program referred to in paragraph 5 of this Practice Note</w:t>
      </w:r>
    </w:p>
    <w:p w14:paraId="76639A68" w14:textId="77777777" w:rsidR="0049326B" w:rsidRDefault="0049326B" w:rsidP="0049326B">
      <w:pPr>
        <w:pStyle w:val="ListParagraph"/>
        <w:spacing w:before="120" w:after="120"/>
        <w:jc w:val="both"/>
        <w:rPr>
          <w:rFonts w:ascii="Book Antiqua" w:hAnsi="Book Antiqua"/>
          <w:b/>
          <w:i/>
          <w:sz w:val="24"/>
          <w:szCs w:val="24"/>
        </w:rPr>
      </w:pPr>
      <w:r w:rsidRPr="0049326B">
        <w:rPr>
          <w:rFonts w:ascii="Book Antiqua" w:hAnsi="Book Antiqua"/>
          <w:b/>
          <w:i/>
          <w:sz w:val="24"/>
          <w:szCs w:val="24"/>
        </w:rPr>
        <w:t xml:space="preserve">Rules </w:t>
      </w:r>
      <w:r w:rsidRPr="0049326B">
        <w:rPr>
          <w:rFonts w:ascii="Book Antiqua" w:hAnsi="Book Antiqua"/>
          <w:sz w:val="24"/>
          <w:szCs w:val="24"/>
        </w:rPr>
        <w:t xml:space="preserve">means </w:t>
      </w:r>
      <w:r w:rsidRPr="0049326B">
        <w:rPr>
          <w:rFonts w:ascii="Book Antiqua" w:hAnsi="Book Antiqua"/>
          <w:i/>
          <w:sz w:val="24"/>
          <w:szCs w:val="24"/>
        </w:rPr>
        <w:t xml:space="preserve">Supreme Court (Corporations) Rules </w:t>
      </w:r>
      <w:r w:rsidRPr="00447BBF">
        <w:rPr>
          <w:rFonts w:ascii="Book Antiqua" w:hAnsi="Book Antiqua"/>
          <w:sz w:val="24"/>
          <w:szCs w:val="24"/>
        </w:rPr>
        <w:t>2013</w:t>
      </w:r>
    </w:p>
    <w:p w14:paraId="65FDDDB5" w14:textId="77777777" w:rsidR="00B72C47" w:rsidRPr="007917BE" w:rsidRDefault="00B72C47" w:rsidP="00CD0331">
      <w:pPr>
        <w:spacing w:before="120" w:after="120"/>
        <w:jc w:val="both"/>
        <w:rPr>
          <w:rFonts w:ascii="Book Antiqua" w:hAnsi="Book Antiqua"/>
        </w:rPr>
      </w:pPr>
    </w:p>
    <w:p w14:paraId="61C860F0" w14:textId="749287E9" w:rsidR="00C02583" w:rsidRPr="007917BE" w:rsidRDefault="008929D1" w:rsidP="00CD0331">
      <w:pPr>
        <w:pStyle w:val="Heading1"/>
        <w:spacing w:before="120" w:after="120"/>
        <w:rPr>
          <w:rFonts w:ascii="Book Antiqua" w:hAnsi="Book Antiqua"/>
          <w:szCs w:val="24"/>
        </w:rPr>
      </w:pPr>
      <w:r>
        <w:rPr>
          <w:rFonts w:ascii="Book Antiqua" w:hAnsi="Book Antiqua"/>
          <w:szCs w:val="24"/>
        </w:rPr>
        <w:t>BACKGROUND</w:t>
      </w:r>
    </w:p>
    <w:p w14:paraId="2A3E896B" w14:textId="65DE3839"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Many applications each month are issued in the Court seeking relief under s</w:t>
      </w:r>
      <w:r>
        <w:rPr>
          <w:rFonts w:ascii="Book Antiqua" w:hAnsi="Book Antiqua"/>
          <w:sz w:val="24"/>
          <w:szCs w:val="24"/>
        </w:rPr>
        <w:t> </w:t>
      </w:r>
      <w:r w:rsidRPr="008929D1">
        <w:rPr>
          <w:rFonts w:ascii="Book Antiqua" w:hAnsi="Book Antiqua"/>
          <w:sz w:val="24"/>
          <w:szCs w:val="24"/>
        </w:rPr>
        <w:t>233 of the Act where it is alleged that the affairs of a company have been conducted in an oppressive manner.  Under the Rules, such applications must be commenced by originating process.</w:t>
      </w:r>
      <w:r>
        <w:rPr>
          <w:rStyle w:val="FootnoteReference"/>
          <w:rFonts w:ascii="Book Antiqua" w:hAnsi="Book Antiqua"/>
          <w:sz w:val="24"/>
          <w:szCs w:val="24"/>
        </w:rPr>
        <w:footnoteReference w:id="2"/>
      </w:r>
      <w:r w:rsidR="003D59A0">
        <w:rPr>
          <w:rFonts w:ascii="Book Antiqua" w:hAnsi="Book Antiqua"/>
          <w:sz w:val="24"/>
          <w:szCs w:val="24"/>
        </w:rPr>
        <w:t xml:space="preserve">  </w:t>
      </w:r>
      <w:r w:rsidRPr="008929D1">
        <w:rPr>
          <w:rFonts w:ascii="Book Antiqua" w:hAnsi="Book Antiqua"/>
          <w:sz w:val="24"/>
          <w:szCs w:val="24"/>
        </w:rPr>
        <w:t xml:space="preserve">Unless the Court otherwise directs, the </w:t>
      </w:r>
      <w:r w:rsidRPr="008929D1">
        <w:rPr>
          <w:rFonts w:ascii="Book Antiqua" w:hAnsi="Book Antiqua"/>
          <w:sz w:val="24"/>
          <w:szCs w:val="24"/>
        </w:rPr>
        <w:lastRenderedPageBreak/>
        <w:t>originating process</w:t>
      </w:r>
      <w:r>
        <w:rPr>
          <w:rStyle w:val="FootnoteReference"/>
          <w:rFonts w:ascii="Book Antiqua" w:hAnsi="Book Antiqua"/>
          <w:sz w:val="24"/>
          <w:szCs w:val="24"/>
        </w:rPr>
        <w:footnoteReference w:id="3"/>
      </w:r>
      <w:r w:rsidRPr="008929D1">
        <w:rPr>
          <w:rFonts w:ascii="Book Antiqua" w:hAnsi="Book Antiqua"/>
          <w:sz w:val="24"/>
          <w:szCs w:val="24"/>
        </w:rPr>
        <w:t xml:space="preserve"> must be supported by an affidavit stating the fa</w:t>
      </w:r>
      <w:r w:rsidR="00447BBF">
        <w:rPr>
          <w:rFonts w:ascii="Book Antiqua" w:hAnsi="Book Antiqua"/>
          <w:sz w:val="24"/>
          <w:szCs w:val="24"/>
        </w:rPr>
        <w:t xml:space="preserve">cts in support of the process </w:t>
      </w:r>
      <w:r w:rsidRPr="008929D1">
        <w:rPr>
          <w:rFonts w:ascii="Book Antiqua" w:hAnsi="Book Antiqua"/>
          <w:sz w:val="24"/>
          <w:szCs w:val="24"/>
        </w:rPr>
        <w:t>and must annexe an ASIC search of the company.</w:t>
      </w:r>
      <w:r>
        <w:rPr>
          <w:rStyle w:val="FootnoteReference"/>
          <w:rFonts w:ascii="Book Antiqua" w:hAnsi="Book Antiqua"/>
          <w:sz w:val="24"/>
          <w:szCs w:val="24"/>
        </w:rPr>
        <w:footnoteReference w:id="4"/>
      </w:r>
      <w:r w:rsidRPr="008929D1">
        <w:rPr>
          <w:rFonts w:ascii="Book Antiqua" w:hAnsi="Book Antiqua"/>
          <w:sz w:val="24"/>
          <w:szCs w:val="24"/>
        </w:rPr>
        <w:t xml:space="preserve"> </w:t>
      </w:r>
    </w:p>
    <w:p w14:paraId="6218E136" w14:textId="5EA5B18C" w:rsidR="00D97628"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Almost all of the claims seeking relief under s 233 of the Act relate to small businesses, most commonly family businesses.  Frequently, the value of the business is not substantial.  Nevertheless, applications are often supported by affidavits which run to many pages and considerable detail.  At the first return of the originating process, it is common for orders to be made for inspection and copying of the books of the company, for valuation of the shares in </w:t>
      </w:r>
      <w:r>
        <w:rPr>
          <w:rFonts w:ascii="Book Antiqua" w:hAnsi="Book Antiqua"/>
          <w:sz w:val="24"/>
          <w:szCs w:val="24"/>
        </w:rPr>
        <w:t>the company and for mediation.</w:t>
      </w:r>
      <w:r>
        <w:rPr>
          <w:rStyle w:val="FootnoteReference"/>
          <w:rFonts w:ascii="Book Antiqua" w:hAnsi="Book Antiqua"/>
          <w:sz w:val="24"/>
          <w:szCs w:val="24"/>
        </w:rPr>
        <w:footnoteReference w:id="5"/>
      </w:r>
    </w:p>
    <w:p w14:paraId="438307D0" w14:textId="77777777" w:rsidR="00582DAF" w:rsidRPr="007917BE" w:rsidRDefault="00582DAF" w:rsidP="00CD0331">
      <w:pPr>
        <w:spacing w:before="120" w:after="120"/>
        <w:ind w:left="720" w:hanging="720"/>
        <w:jc w:val="both"/>
        <w:rPr>
          <w:rFonts w:ascii="Book Antiqua" w:hAnsi="Book Antiqua"/>
          <w:b/>
        </w:rPr>
      </w:pPr>
    </w:p>
    <w:p w14:paraId="35E2AA22" w14:textId="4D5AB627" w:rsidR="00BB44DE" w:rsidRPr="007917BE" w:rsidRDefault="008929D1" w:rsidP="00CD0331">
      <w:pPr>
        <w:pStyle w:val="Heading1"/>
        <w:spacing w:before="120" w:after="120"/>
        <w:rPr>
          <w:rFonts w:ascii="Book Antiqua" w:hAnsi="Book Antiqua"/>
          <w:szCs w:val="24"/>
        </w:rPr>
      </w:pPr>
      <w:r>
        <w:rPr>
          <w:rFonts w:ascii="Book Antiqua" w:hAnsi="Book Antiqua"/>
          <w:szCs w:val="24"/>
        </w:rPr>
        <w:t>PILOT PROGRAM</w:t>
      </w:r>
    </w:p>
    <w:p w14:paraId="751B1096" w14:textId="1366E13E"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On 1 October 2014, t</w:t>
      </w:r>
      <w:r w:rsidR="003D59A0">
        <w:rPr>
          <w:rFonts w:ascii="Book Antiqua" w:hAnsi="Book Antiqua"/>
          <w:sz w:val="24"/>
          <w:szCs w:val="24"/>
        </w:rPr>
        <w:t>he Court commenced operating a six</w:t>
      </w:r>
      <w:r w:rsidRPr="008929D1">
        <w:rPr>
          <w:rFonts w:ascii="Book Antiqua" w:hAnsi="Book Antiqua"/>
          <w:sz w:val="24"/>
          <w:szCs w:val="24"/>
        </w:rPr>
        <w:t xml:space="preserve"> month pilot programme in respect of oppression applications.  The Court embarked on this course with a view to facilitating the just, efficient, timely and cost effective resolution of the real issues in dispute in applications under s 233 Act.  In particular, the Pilot sought to trial initiatives aimed at exploring resolution of the dispute at a very early stage of the proceeding before significant costs had been incurred.</w:t>
      </w:r>
    </w:p>
    <w:p w14:paraId="2A5835DE"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The Pilot set out a streamlined procedure for the case management of oppression proceedings in the Court.  During the life of the Pilot, a significant number of matters were commenced and subject to the new process.  The Pilot resulted in the early resolution of a number of those matters or, where early resolution was not practicable, a significant narrowing of the issues in dispute.  </w:t>
      </w:r>
    </w:p>
    <w:p w14:paraId="1517445E" w14:textId="38890E8B" w:rsid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The Pilot ceased its term on 1 April 2015 </w:t>
      </w:r>
      <w:r w:rsidR="007D4E2B">
        <w:rPr>
          <w:rFonts w:ascii="Book Antiqua" w:hAnsi="Book Antiqua"/>
          <w:sz w:val="24"/>
          <w:szCs w:val="24"/>
        </w:rPr>
        <w:t>and,</w:t>
      </w:r>
      <w:r w:rsidRPr="008929D1">
        <w:rPr>
          <w:rFonts w:ascii="Book Antiqua" w:hAnsi="Book Antiqua"/>
          <w:sz w:val="24"/>
          <w:szCs w:val="24"/>
        </w:rPr>
        <w:t xml:space="preserve"> </w:t>
      </w:r>
      <w:r w:rsidR="007D4E2B">
        <w:rPr>
          <w:rFonts w:ascii="Book Antiqua" w:hAnsi="Book Antiqua"/>
          <w:sz w:val="24"/>
          <w:szCs w:val="24"/>
        </w:rPr>
        <w:t>f</w:t>
      </w:r>
      <w:r w:rsidRPr="008929D1">
        <w:rPr>
          <w:rFonts w:ascii="Book Antiqua" w:hAnsi="Book Antiqua"/>
          <w:sz w:val="24"/>
          <w:szCs w:val="24"/>
        </w:rPr>
        <w:t xml:space="preserve">ollowing the initial results of the Pilot, the Court resolved to extend its operation until 1 August 2017.  </w:t>
      </w:r>
      <w:r w:rsidR="00335CDD">
        <w:rPr>
          <w:rFonts w:ascii="Book Antiqua" w:hAnsi="Book Antiqua"/>
          <w:sz w:val="24"/>
          <w:szCs w:val="24"/>
        </w:rPr>
        <w:t>I</w:t>
      </w:r>
      <w:r w:rsidRPr="008929D1">
        <w:rPr>
          <w:rFonts w:ascii="Book Antiqua" w:hAnsi="Book Antiqua"/>
          <w:sz w:val="24"/>
          <w:szCs w:val="24"/>
        </w:rPr>
        <w:t xml:space="preserve">n order to improve the efficiency of the Pilot, a number of important changes </w:t>
      </w:r>
      <w:r w:rsidR="00E12AC0">
        <w:rPr>
          <w:rFonts w:ascii="Book Antiqua" w:hAnsi="Book Antiqua"/>
          <w:sz w:val="24"/>
          <w:szCs w:val="24"/>
        </w:rPr>
        <w:t>were</w:t>
      </w:r>
      <w:r w:rsidRPr="008929D1">
        <w:rPr>
          <w:rFonts w:ascii="Book Antiqua" w:hAnsi="Book Antiqua"/>
          <w:sz w:val="24"/>
          <w:szCs w:val="24"/>
        </w:rPr>
        <w:t xml:space="preserve"> made.  The revised procedures for the Pilot are set out below.</w:t>
      </w:r>
    </w:p>
    <w:p w14:paraId="2BBED7ED" w14:textId="4102081D" w:rsidR="007D4E2B" w:rsidRPr="008929D1" w:rsidRDefault="007D4E2B" w:rsidP="008929D1">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The Court has</w:t>
      </w:r>
      <w:r w:rsidR="00E12AC0">
        <w:rPr>
          <w:rFonts w:ascii="Book Antiqua" w:hAnsi="Book Antiqua"/>
          <w:sz w:val="24"/>
          <w:szCs w:val="24"/>
        </w:rPr>
        <w:t xml:space="preserve"> again</w:t>
      </w:r>
      <w:r>
        <w:rPr>
          <w:rFonts w:ascii="Book Antiqua" w:hAnsi="Book Antiqua"/>
          <w:sz w:val="24"/>
          <w:szCs w:val="24"/>
        </w:rPr>
        <w:t xml:space="preserve"> resolved to exten</w:t>
      </w:r>
      <w:r w:rsidR="00E12AC0">
        <w:rPr>
          <w:rFonts w:ascii="Book Antiqua" w:hAnsi="Book Antiqua"/>
          <w:sz w:val="24"/>
          <w:szCs w:val="24"/>
        </w:rPr>
        <w:t>d</w:t>
      </w:r>
      <w:r>
        <w:rPr>
          <w:rFonts w:ascii="Book Antiqua" w:hAnsi="Book Antiqua"/>
          <w:sz w:val="24"/>
          <w:szCs w:val="24"/>
        </w:rPr>
        <w:t xml:space="preserve"> the operation of the Pilot</w:t>
      </w:r>
      <w:r w:rsidR="00335CDD">
        <w:rPr>
          <w:rFonts w:ascii="Book Antiqua" w:hAnsi="Book Antiqua"/>
          <w:sz w:val="24"/>
          <w:szCs w:val="24"/>
        </w:rPr>
        <w:t xml:space="preserve"> until 30 April 2018. This is to enable the selection of an appropriate number of cases for the purpose of evaluating the Pilot. </w:t>
      </w:r>
      <w:r w:rsidR="00E12AC0">
        <w:rPr>
          <w:rFonts w:ascii="Book Antiqua" w:hAnsi="Book Antiqua"/>
          <w:sz w:val="24"/>
          <w:szCs w:val="24"/>
        </w:rPr>
        <w:t xml:space="preserve">  </w:t>
      </w:r>
    </w:p>
    <w:p w14:paraId="130C4D12" w14:textId="665F1299" w:rsidR="00DC24A7" w:rsidRPr="006F60CF" w:rsidRDefault="00DC24A7" w:rsidP="00DF2D10">
      <w:pPr>
        <w:pStyle w:val="ListParagraph"/>
        <w:spacing w:before="120" w:after="120"/>
        <w:ind w:left="1440" w:hanging="720"/>
        <w:jc w:val="both"/>
        <w:rPr>
          <w:rFonts w:ascii="Book Antiqua" w:hAnsi="Book Antiqua"/>
          <w:sz w:val="24"/>
          <w:szCs w:val="24"/>
        </w:rPr>
      </w:pPr>
    </w:p>
    <w:p w14:paraId="7F7B9A88" w14:textId="6C7D15F9" w:rsidR="00DF2D10" w:rsidRPr="007917BE" w:rsidRDefault="008929D1" w:rsidP="00DF2D10">
      <w:pPr>
        <w:pStyle w:val="Heading1"/>
        <w:spacing w:before="120" w:after="120"/>
        <w:rPr>
          <w:rFonts w:ascii="Book Antiqua" w:hAnsi="Book Antiqua"/>
          <w:szCs w:val="24"/>
        </w:rPr>
      </w:pPr>
      <w:r>
        <w:rPr>
          <w:rFonts w:ascii="Book Antiqua" w:hAnsi="Book Antiqua"/>
          <w:szCs w:val="24"/>
        </w:rPr>
        <w:t>REVISED PILOT</w:t>
      </w:r>
    </w:p>
    <w:p w14:paraId="0D379FD5" w14:textId="7CFFC0E3"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From 1 September 2015 until </w:t>
      </w:r>
      <w:r w:rsidR="007258C7">
        <w:rPr>
          <w:rFonts w:ascii="Book Antiqua" w:hAnsi="Book Antiqua"/>
          <w:sz w:val="24"/>
          <w:szCs w:val="24"/>
        </w:rPr>
        <w:t xml:space="preserve">30 April 2018 </w:t>
      </w:r>
      <w:r w:rsidRPr="008929D1">
        <w:rPr>
          <w:rFonts w:ascii="Book Antiqua" w:hAnsi="Book Antiqua"/>
          <w:sz w:val="24"/>
          <w:szCs w:val="24"/>
        </w:rPr>
        <w:t>and subject to any contrary order of the Court, the following procedure will apply in respect of applications under s 233 of the Act (whether or n</w:t>
      </w:r>
      <w:r w:rsidR="004D3EC8">
        <w:rPr>
          <w:rFonts w:ascii="Book Antiqua" w:hAnsi="Book Antiqua"/>
          <w:sz w:val="24"/>
          <w:szCs w:val="24"/>
        </w:rPr>
        <w:t>ot other relief is also sought).</w:t>
      </w:r>
    </w:p>
    <w:p w14:paraId="29FB5E09" w14:textId="134E2F7F" w:rsidR="008929D1" w:rsidRPr="008929D1" w:rsidRDefault="008929D1" w:rsidP="004D3EC8">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Applications for relief are to be made by originating process filed via RedCrest</w:t>
      </w:r>
      <w:r w:rsidR="004D3EC8">
        <w:rPr>
          <w:rStyle w:val="FootnoteReference"/>
          <w:rFonts w:ascii="Book Antiqua" w:hAnsi="Book Antiqua"/>
          <w:sz w:val="24"/>
          <w:szCs w:val="24"/>
        </w:rPr>
        <w:footnoteReference w:id="6"/>
      </w:r>
      <w:r w:rsidRPr="008929D1">
        <w:rPr>
          <w:rFonts w:ascii="Book Antiqua" w:hAnsi="Book Antiqua"/>
          <w:sz w:val="24"/>
          <w:szCs w:val="24"/>
        </w:rPr>
        <w:t xml:space="preserve"> and supported by an affidavit which:</w:t>
      </w:r>
    </w:p>
    <w:p w14:paraId="2B5346D4" w14:textId="4FEB6411" w:rsidR="008929D1" w:rsidRPr="008929D1" w:rsidRDefault="008929D1" w:rsidP="004D3EC8">
      <w:pPr>
        <w:pStyle w:val="ListParagraph"/>
        <w:spacing w:before="120" w:after="120"/>
        <w:ind w:left="144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proofErr w:type="gramStart"/>
      <w:r w:rsidRPr="008929D1">
        <w:rPr>
          <w:rFonts w:ascii="Book Antiqua" w:hAnsi="Book Antiqua"/>
          <w:sz w:val="24"/>
          <w:szCs w:val="24"/>
        </w:rPr>
        <w:t>is</w:t>
      </w:r>
      <w:proofErr w:type="gramEnd"/>
      <w:r w:rsidRPr="008929D1">
        <w:rPr>
          <w:rFonts w:ascii="Book Antiqua" w:hAnsi="Book Antiqua"/>
          <w:sz w:val="24"/>
          <w:szCs w:val="24"/>
        </w:rPr>
        <w:t xml:space="preserve"> no more than three pages in length;</w:t>
      </w:r>
    </w:p>
    <w:p w14:paraId="34D0F866" w14:textId="146ACACD" w:rsidR="008929D1" w:rsidRPr="008929D1" w:rsidRDefault="008929D1" w:rsidP="004D3EC8">
      <w:pPr>
        <w:pStyle w:val="ListParagraph"/>
        <w:spacing w:before="120" w:after="120"/>
        <w:ind w:left="144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proofErr w:type="gramStart"/>
      <w:r w:rsidRPr="008929D1">
        <w:rPr>
          <w:rFonts w:ascii="Book Antiqua" w:hAnsi="Book Antiqua"/>
          <w:sz w:val="24"/>
          <w:szCs w:val="24"/>
        </w:rPr>
        <w:t>sets</w:t>
      </w:r>
      <w:proofErr w:type="gramEnd"/>
      <w:r w:rsidRPr="008929D1">
        <w:rPr>
          <w:rFonts w:ascii="Book Antiqua" w:hAnsi="Book Antiqua"/>
          <w:sz w:val="24"/>
          <w:szCs w:val="24"/>
        </w:rPr>
        <w:t xml:space="preserve"> out a clear and succinct summary of the facts alleged to constitute the acts of oppression;</w:t>
      </w:r>
    </w:p>
    <w:p w14:paraId="4FD64289" w14:textId="29D82915" w:rsidR="008929D1" w:rsidRPr="008929D1" w:rsidRDefault="008929D1" w:rsidP="004D3EC8">
      <w:pPr>
        <w:pStyle w:val="ListParagraph"/>
        <w:spacing w:before="120" w:after="120"/>
        <w:ind w:left="1440" w:hanging="720"/>
        <w:jc w:val="both"/>
        <w:rPr>
          <w:rFonts w:ascii="Book Antiqua" w:hAnsi="Book Antiqua"/>
          <w:sz w:val="24"/>
          <w:szCs w:val="24"/>
        </w:rPr>
      </w:pPr>
      <w:r>
        <w:rPr>
          <w:rFonts w:ascii="Book Antiqua" w:hAnsi="Book Antiqua"/>
          <w:sz w:val="24"/>
          <w:szCs w:val="24"/>
        </w:rPr>
        <w:lastRenderedPageBreak/>
        <w:t>(c)</w:t>
      </w:r>
      <w:r>
        <w:rPr>
          <w:rFonts w:ascii="Book Antiqua" w:hAnsi="Book Antiqua"/>
          <w:sz w:val="24"/>
          <w:szCs w:val="24"/>
        </w:rPr>
        <w:tab/>
      </w:r>
      <w:proofErr w:type="gramStart"/>
      <w:r w:rsidRPr="008929D1">
        <w:rPr>
          <w:rFonts w:ascii="Book Antiqua" w:hAnsi="Book Antiqua"/>
          <w:sz w:val="24"/>
          <w:szCs w:val="24"/>
        </w:rPr>
        <w:t>sets</w:t>
      </w:r>
      <w:proofErr w:type="gramEnd"/>
      <w:r w:rsidRPr="008929D1">
        <w:rPr>
          <w:rFonts w:ascii="Book Antiqua" w:hAnsi="Book Antiqua"/>
          <w:sz w:val="24"/>
          <w:szCs w:val="24"/>
        </w:rPr>
        <w:t xml:space="preserve"> out a preliminary estimate of the value of the shares in the company (where practicable);</w:t>
      </w:r>
    </w:p>
    <w:p w14:paraId="69C367AB" w14:textId="64ACDF4C" w:rsidR="008929D1" w:rsidRPr="008929D1" w:rsidRDefault="008929D1" w:rsidP="004D3EC8">
      <w:pPr>
        <w:pStyle w:val="ListParagraph"/>
        <w:spacing w:before="120" w:after="120"/>
        <w:ind w:left="1440" w:hanging="720"/>
        <w:jc w:val="both"/>
        <w:rPr>
          <w:rFonts w:ascii="Book Antiqua" w:hAnsi="Book Antiqua"/>
          <w:sz w:val="24"/>
          <w:szCs w:val="24"/>
        </w:rPr>
      </w:pPr>
      <w:r>
        <w:rPr>
          <w:rFonts w:ascii="Book Antiqua" w:hAnsi="Book Antiqua"/>
          <w:sz w:val="24"/>
          <w:szCs w:val="24"/>
        </w:rPr>
        <w:t>(d)</w:t>
      </w:r>
      <w:r>
        <w:rPr>
          <w:rFonts w:ascii="Book Antiqua" w:hAnsi="Book Antiqua"/>
          <w:sz w:val="24"/>
          <w:szCs w:val="24"/>
        </w:rPr>
        <w:tab/>
      </w:r>
      <w:proofErr w:type="gramStart"/>
      <w:r w:rsidRPr="008929D1">
        <w:rPr>
          <w:rFonts w:ascii="Book Antiqua" w:hAnsi="Book Antiqua"/>
          <w:sz w:val="24"/>
          <w:szCs w:val="24"/>
        </w:rPr>
        <w:t>exhibits</w:t>
      </w:r>
      <w:proofErr w:type="gramEnd"/>
      <w:r w:rsidRPr="008929D1">
        <w:rPr>
          <w:rFonts w:ascii="Book Antiqua" w:hAnsi="Book Antiqua"/>
          <w:sz w:val="24"/>
          <w:szCs w:val="24"/>
        </w:rPr>
        <w:t xml:space="preserve"> a current ASIC search of the company; and</w:t>
      </w:r>
    </w:p>
    <w:p w14:paraId="086D0C87" w14:textId="77777777" w:rsidR="008929D1" w:rsidRPr="008929D1" w:rsidRDefault="008929D1" w:rsidP="004D3EC8">
      <w:pPr>
        <w:pStyle w:val="ListParagraph"/>
        <w:spacing w:before="120" w:after="120"/>
        <w:ind w:left="1440"/>
        <w:jc w:val="both"/>
        <w:rPr>
          <w:rFonts w:ascii="Book Antiqua" w:hAnsi="Book Antiqua"/>
          <w:sz w:val="24"/>
          <w:szCs w:val="24"/>
        </w:rPr>
      </w:pPr>
      <w:proofErr w:type="gramStart"/>
      <w:r w:rsidRPr="008929D1">
        <w:rPr>
          <w:rFonts w:ascii="Book Antiqua" w:hAnsi="Book Antiqua"/>
          <w:sz w:val="24"/>
          <w:szCs w:val="24"/>
        </w:rPr>
        <w:t>has</w:t>
      </w:r>
      <w:proofErr w:type="gramEnd"/>
      <w:r w:rsidRPr="008929D1">
        <w:rPr>
          <w:rFonts w:ascii="Book Antiqua" w:hAnsi="Book Antiqua"/>
          <w:sz w:val="24"/>
          <w:szCs w:val="24"/>
        </w:rPr>
        <w:t xml:space="preserve"> no other exhibits.</w:t>
      </w:r>
    </w:p>
    <w:p w14:paraId="5A863EC1"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In preparing the affidavit, practitioners should have regard to the relevant authorities which provide examples of the type of conduct that may ground a claim under s 233 of the Act.</w:t>
      </w:r>
    </w:p>
    <w:p w14:paraId="6B22564A"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Upon initiation, the matter will be entered into the Judge-managed Corporations List and will attract an Entry into List fee in accordance with regulation 8A of the </w:t>
      </w:r>
      <w:r w:rsidRPr="004D3EC8">
        <w:rPr>
          <w:rFonts w:ascii="Book Antiqua" w:hAnsi="Book Antiqua"/>
          <w:i/>
          <w:sz w:val="24"/>
          <w:szCs w:val="24"/>
        </w:rPr>
        <w:t xml:space="preserve">Supreme Court Fee Regulations </w:t>
      </w:r>
      <w:r w:rsidRPr="00447BBF">
        <w:rPr>
          <w:rFonts w:ascii="Book Antiqua" w:hAnsi="Book Antiqua"/>
          <w:sz w:val="24"/>
          <w:szCs w:val="24"/>
        </w:rPr>
        <w:t>2012</w:t>
      </w:r>
      <w:r w:rsidRPr="008929D1">
        <w:rPr>
          <w:rFonts w:ascii="Book Antiqua" w:hAnsi="Book Antiqua"/>
          <w:sz w:val="24"/>
          <w:szCs w:val="24"/>
        </w:rPr>
        <w:t xml:space="preserve"> (Vic).</w:t>
      </w:r>
    </w:p>
    <w:p w14:paraId="1F554F78" w14:textId="4E23CB60"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The Corporations List Judge will review the proceeding to decide whether it is a matter which lends itself to management under the Pilot or whether the characteristics of the case suggest it would be more appropriately managed and determined by a </w:t>
      </w:r>
      <w:r w:rsidR="003D59A0">
        <w:rPr>
          <w:rFonts w:ascii="Book Antiqua" w:hAnsi="Book Antiqua"/>
          <w:sz w:val="24"/>
          <w:szCs w:val="24"/>
        </w:rPr>
        <w:t>J</w:t>
      </w:r>
      <w:r w:rsidRPr="008929D1">
        <w:rPr>
          <w:rFonts w:ascii="Book Antiqua" w:hAnsi="Book Antiqua"/>
          <w:sz w:val="24"/>
          <w:szCs w:val="24"/>
        </w:rPr>
        <w:t xml:space="preserve">udge.  For example, it is unlikely that the procedure will be appropriate if the application concerns a publicly listed company or involves complex trust structures.  If the matter is suitable for inclusion in the Pilot, the Corporations List Judge will formally refer the matter on the papers.  </w:t>
      </w:r>
    </w:p>
    <w:p w14:paraId="26D6685E"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Following entry into the Pilot and the filing of a notice of appearance by the Defendant(s), the application will be made returnable for an initial conference before an Associate Judge or a Judicial Registrar.  The parties (as well as their practitioners) will be expected to attend that conference.  The Associate Judge or Judicial Registrar will explore with the parties whether the matter is ready for referral to mediation or whether any preliminary steps are required to be undertaken, for example, whether:</w:t>
      </w:r>
    </w:p>
    <w:p w14:paraId="0A6E935A" w14:textId="00A66366" w:rsidR="008929D1" w:rsidRPr="008929D1" w:rsidRDefault="008929D1" w:rsidP="004D3EC8">
      <w:pPr>
        <w:pStyle w:val="ListParagraph"/>
        <w:numPr>
          <w:ilvl w:val="2"/>
          <w:numId w:val="24"/>
        </w:numPr>
        <w:spacing w:before="120" w:after="120"/>
        <w:ind w:left="1440"/>
        <w:jc w:val="both"/>
        <w:rPr>
          <w:rFonts w:ascii="Book Antiqua" w:hAnsi="Book Antiqua"/>
          <w:sz w:val="24"/>
          <w:szCs w:val="24"/>
        </w:rPr>
      </w:pPr>
      <w:r w:rsidRPr="008929D1">
        <w:rPr>
          <w:rFonts w:ascii="Book Antiqua" w:hAnsi="Book Antiqua"/>
          <w:sz w:val="24"/>
          <w:szCs w:val="24"/>
        </w:rPr>
        <w:t>the Defendant(s) should first be afforded an opportunity to file a respon</w:t>
      </w:r>
      <w:r w:rsidR="003D59A0">
        <w:rPr>
          <w:rFonts w:ascii="Book Antiqua" w:hAnsi="Book Antiqua"/>
          <w:sz w:val="24"/>
          <w:szCs w:val="24"/>
        </w:rPr>
        <w:t>ding affidavit of no more than three</w:t>
      </w:r>
      <w:r w:rsidRPr="008929D1">
        <w:rPr>
          <w:rFonts w:ascii="Book Antiqua" w:hAnsi="Book Antiqua"/>
          <w:sz w:val="24"/>
          <w:szCs w:val="24"/>
        </w:rPr>
        <w:t xml:space="preserve"> pages;  </w:t>
      </w:r>
    </w:p>
    <w:p w14:paraId="4F1795D2" w14:textId="77777777" w:rsidR="008929D1" w:rsidRPr="008929D1" w:rsidRDefault="008929D1" w:rsidP="004D3EC8">
      <w:pPr>
        <w:pStyle w:val="ListParagraph"/>
        <w:numPr>
          <w:ilvl w:val="2"/>
          <w:numId w:val="24"/>
        </w:numPr>
        <w:spacing w:before="120" w:after="120"/>
        <w:ind w:left="1440"/>
        <w:jc w:val="both"/>
        <w:rPr>
          <w:rFonts w:ascii="Book Antiqua" w:hAnsi="Book Antiqua"/>
          <w:sz w:val="24"/>
          <w:szCs w:val="24"/>
        </w:rPr>
      </w:pPr>
      <w:r w:rsidRPr="008929D1">
        <w:rPr>
          <w:rFonts w:ascii="Book Antiqua" w:hAnsi="Book Antiqua"/>
          <w:sz w:val="24"/>
          <w:szCs w:val="24"/>
        </w:rPr>
        <w:t>a valuation of the company should be arranged; or</w:t>
      </w:r>
    </w:p>
    <w:p w14:paraId="56DB86FC" w14:textId="77777777" w:rsidR="008929D1" w:rsidRPr="008929D1" w:rsidRDefault="008929D1" w:rsidP="004D3EC8">
      <w:pPr>
        <w:pStyle w:val="ListParagraph"/>
        <w:numPr>
          <w:ilvl w:val="2"/>
          <w:numId w:val="24"/>
        </w:numPr>
        <w:spacing w:before="120" w:after="120"/>
        <w:ind w:left="1440"/>
        <w:jc w:val="both"/>
        <w:rPr>
          <w:rFonts w:ascii="Book Antiqua" w:hAnsi="Book Antiqua"/>
          <w:sz w:val="24"/>
          <w:szCs w:val="24"/>
        </w:rPr>
      </w:pPr>
      <w:proofErr w:type="gramStart"/>
      <w:r w:rsidRPr="008929D1">
        <w:rPr>
          <w:rFonts w:ascii="Book Antiqua" w:hAnsi="Book Antiqua"/>
          <w:sz w:val="24"/>
          <w:szCs w:val="24"/>
        </w:rPr>
        <w:t>an</w:t>
      </w:r>
      <w:proofErr w:type="gramEnd"/>
      <w:r w:rsidRPr="008929D1">
        <w:rPr>
          <w:rFonts w:ascii="Book Antiqua" w:hAnsi="Book Antiqua"/>
          <w:sz w:val="24"/>
          <w:szCs w:val="24"/>
        </w:rPr>
        <w:t xml:space="preserve"> order for access and inspection of the books of the company should be made.</w:t>
      </w:r>
    </w:p>
    <w:p w14:paraId="3ED64864" w14:textId="77777777" w:rsidR="008929D1" w:rsidRPr="008929D1" w:rsidRDefault="008929D1" w:rsidP="004D3EC8">
      <w:pPr>
        <w:pStyle w:val="ListParagraph"/>
        <w:spacing w:before="120" w:after="120"/>
        <w:ind w:left="1440"/>
        <w:jc w:val="both"/>
        <w:rPr>
          <w:rFonts w:ascii="Book Antiqua" w:hAnsi="Book Antiqua"/>
          <w:sz w:val="24"/>
          <w:szCs w:val="24"/>
        </w:rPr>
      </w:pPr>
      <w:r w:rsidRPr="008929D1">
        <w:rPr>
          <w:rFonts w:ascii="Book Antiqua" w:hAnsi="Book Antiqua"/>
          <w:sz w:val="24"/>
          <w:szCs w:val="24"/>
        </w:rPr>
        <w:t>Orders for points of claim, points of defence and more detailed affidavits are unlikely to be made until after the mediation.</w:t>
      </w:r>
    </w:p>
    <w:p w14:paraId="3DA3EBCF"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A number of matters will be listed for initial conference before an Associate Judge or Judicial Registrar on the same day.  Whilst the parties are encouraged to adopt a pragmatic and collaborative approach to identifying any necessary preliminary steps, consent orders will not be made in advance of the initial conference.</w:t>
      </w:r>
    </w:p>
    <w:p w14:paraId="549A48FA"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If urgent orders are sought at the initial conference that are beyond the jurisdiction of Associate Judges or the Judicial Registrar, or for some other reason the presiding judicial officer forms the view that the application should be referred back to the Corporations List Judge, then that referral will be made.  </w:t>
      </w:r>
    </w:p>
    <w:p w14:paraId="3DEE846C"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Matters under the Pilot will generally be mediated by either an Associate Judge or a Judicial Registrar.  In some cases, the matter may be considered appropriate for referral to external private mediation.</w:t>
      </w:r>
    </w:p>
    <w:p w14:paraId="025B08C4"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If a matter does not resolve at the mediation, an Associate Judge or Judicial Registrar may make consent directions for the future conduct of the matter.  </w:t>
      </w:r>
    </w:p>
    <w:p w14:paraId="3F31CEBD" w14:textId="417B5616" w:rsid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lastRenderedPageBreak/>
        <w:t>Once these steps have been completed, and if the dispute has not resolved, the ap</w:t>
      </w:r>
      <w:r w:rsidR="00447BBF">
        <w:rPr>
          <w:rFonts w:ascii="Book Antiqua" w:hAnsi="Book Antiqua"/>
          <w:sz w:val="24"/>
          <w:szCs w:val="24"/>
        </w:rPr>
        <w:t>plication may be referred to a j</w:t>
      </w:r>
      <w:r w:rsidRPr="008929D1">
        <w:rPr>
          <w:rFonts w:ascii="Book Antiqua" w:hAnsi="Book Antiqua"/>
          <w:sz w:val="24"/>
          <w:szCs w:val="24"/>
        </w:rPr>
        <w:t>udge for further directions and/or hearing.</w:t>
      </w:r>
    </w:p>
    <w:p w14:paraId="43E459E7" w14:textId="29C54612" w:rsidR="00DF2D10" w:rsidRPr="006F60CF" w:rsidRDefault="00DF2D10" w:rsidP="004D3EC8">
      <w:pPr>
        <w:pStyle w:val="ListParagraph"/>
        <w:spacing w:before="120" w:after="120"/>
        <w:jc w:val="both"/>
        <w:rPr>
          <w:rFonts w:ascii="Book Antiqua" w:hAnsi="Book Antiqua"/>
          <w:sz w:val="24"/>
          <w:szCs w:val="24"/>
        </w:rPr>
      </w:pPr>
    </w:p>
    <w:p w14:paraId="47D97892" w14:textId="40FC4708" w:rsidR="00DF2D10" w:rsidRPr="007917BE" w:rsidRDefault="008929D1" w:rsidP="00DF2D10">
      <w:pPr>
        <w:pStyle w:val="Heading1"/>
        <w:spacing w:before="120" w:after="120"/>
        <w:rPr>
          <w:rFonts w:ascii="Book Antiqua" w:hAnsi="Book Antiqua"/>
          <w:szCs w:val="24"/>
        </w:rPr>
      </w:pPr>
      <w:r>
        <w:rPr>
          <w:rFonts w:ascii="Book Antiqua" w:hAnsi="Book Antiqua"/>
          <w:szCs w:val="24"/>
        </w:rPr>
        <w:t>REVIEW PROCESS</w:t>
      </w:r>
    </w:p>
    <w:p w14:paraId="025942CC" w14:textId="7A97AEDC" w:rsidR="008929D1" w:rsidRDefault="008929D1" w:rsidP="004D3EC8">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This process will be reviewed by the Court after </w:t>
      </w:r>
      <w:r w:rsidR="00734F12">
        <w:rPr>
          <w:rFonts w:ascii="Book Antiqua" w:hAnsi="Book Antiqua"/>
          <w:sz w:val="24"/>
          <w:szCs w:val="24"/>
        </w:rPr>
        <w:t>30 April 2018</w:t>
      </w:r>
      <w:r w:rsidRPr="008929D1">
        <w:rPr>
          <w:rFonts w:ascii="Book Antiqua" w:hAnsi="Book Antiqua"/>
          <w:sz w:val="24"/>
          <w:szCs w:val="24"/>
        </w:rPr>
        <w:t>.</w:t>
      </w:r>
    </w:p>
    <w:p w14:paraId="0561F72D" w14:textId="77777777" w:rsidR="00DC24A7" w:rsidRPr="007917BE" w:rsidRDefault="00DC24A7" w:rsidP="00CD0331">
      <w:pPr>
        <w:spacing w:before="120" w:after="120"/>
        <w:ind w:left="720" w:hanging="720"/>
        <w:jc w:val="both"/>
        <w:rPr>
          <w:rFonts w:ascii="Book Antiqua" w:hAnsi="Book Antiqua"/>
        </w:rPr>
      </w:pPr>
    </w:p>
    <w:p w14:paraId="2A06942D" w14:textId="27F46ABE"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78D2DD2D" w14:textId="7FB0F91C" w:rsidR="00AB3FFA" w:rsidRDefault="00A13E5C" w:rsidP="00CD0331">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J</w:t>
      </w:r>
      <w:r w:rsidR="00195A8C">
        <w:rPr>
          <w:rFonts w:ascii="Book Antiqua" w:hAnsi="Book Antiqua"/>
        </w:rPr>
        <w:t>anuary</w:t>
      </w:r>
      <w:r w:rsidR="00277B7B" w:rsidRPr="00277B7B">
        <w:rPr>
          <w:rFonts w:ascii="Book Antiqua" w:hAnsi="Book Antiqua"/>
        </w:rPr>
        <w:t xml:space="preserve"> 201</w:t>
      </w:r>
      <w:r w:rsidR="00195A8C">
        <w:rPr>
          <w:rFonts w:ascii="Book Antiqua" w:hAnsi="Book Antiqua"/>
        </w:rPr>
        <w:t>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195A8C">
        <w:rPr>
          <w:rFonts w:ascii="Book Antiqua" w:hAnsi="Book Antiqua"/>
        </w:rPr>
        <w:t xml:space="preserve"> 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195A8C">
        <w:rPr>
          <w:rFonts w:ascii="Book Antiqua" w:hAnsi="Book Antiqua"/>
        </w:rPr>
        <w:t xml:space="preserve"> Practice Note</w:t>
      </w:r>
      <w:r w:rsidR="008929D1">
        <w:rPr>
          <w:rFonts w:ascii="Book Antiqua" w:hAnsi="Book Antiqua"/>
        </w:rPr>
        <w:t>s</w:t>
      </w:r>
      <w:r w:rsidR="00195A8C">
        <w:rPr>
          <w:rFonts w:ascii="Book Antiqua" w:hAnsi="Book Antiqua"/>
        </w:rPr>
        <w:t xml:space="preserve"> No 1</w:t>
      </w:r>
      <w:r w:rsidR="008929D1">
        <w:rPr>
          <w:rFonts w:ascii="Book Antiqua" w:hAnsi="Book Antiqua"/>
        </w:rPr>
        <w:t>3</w:t>
      </w:r>
      <w:r w:rsidR="00195A8C">
        <w:rPr>
          <w:rFonts w:ascii="Book Antiqua" w:hAnsi="Book Antiqua"/>
        </w:rPr>
        <w:t xml:space="preserve"> of 2015</w:t>
      </w:r>
      <w:r w:rsidR="008929D1">
        <w:rPr>
          <w:rFonts w:ascii="Book Antiqua" w:hAnsi="Book Antiqua"/>
        </w:rPr>
        <w:t xml:space="preserve"> and No 5 of 2014</w:t>
      </w:r>
      <w:r w:rsidR="0008041A">
        <w:rPr>
          <w:rFonts w:ascii="Book Antiqua" w:hAnsi="Book Antiqua"/>
        </w:rPr>
        <w:t>.</w:t>
      </w:r>
    </w:p>
    <w:p w14:paraId="28BF0E9E" w14:textId="6C28C6B7" w:rsidR="00734F12" w:rsidRPr="00277B7B" w:rsidRDefault="00734F12" w:rsidP="00CD0331">
      <w:pPr>
        <w:spacing w:before="120" w:after="120"/>
        <w:jc w:val="both"/>
        <w:rPr>
          <w:rFonts w:ascii="Book Antiqua" w:hAnsi="Book Antiqua"/>
        </w:rPr>
      </w:pPr>
    </w:p>
    <w:p w14:paraId="54E10128" w14:textId="77777777" w:rsidR="00277B7B" w:rsidRPr="007917BE" w:rsidRDefault="00277B7B" w:rsidP="00CD0331">
      <w:pPr>
        <w:spacing w:before="120" w:after="120"/>
        <w:ind w:left="720" w:hanging="720"/>
        <w:jc w:val="both"/>
        <w:rPr>
          <w:rFonts w:ascii="Book Antiqua" w:hAnsi="Book Antiqua"/>
        </w:rPr>
      </w:pPr>
    </w:p>
    <w:p w14:paraId="4C7C0933" w14:textId="77777777" w:rsidR="00AB3FFA" w:rsidRPr="007917BE" w:rsidRDefault="00AB3FFA" w:rsidP="00CD0331">
      <w:pPr>
        <w:spacing w:before="120" w:after="120"/>
        <w:ind w:left="720" w:hanging="720"/>
        <w:jc w:val="both"/>
        <w:rPr>
          <w:rFonts w:ascii="Book Antiqua" w:hAnsi="Book Antiqua"/>
        </w:rPr>
      </w:pPr>
    </w:p>
    <w:p w14:paraId="783D0B69" w14:textId="77777777" w:rsidR="009A20B5" w:rsidRPr="007917BE" w:rsidRDefault="009A20B5" w:rsidP="009A20B5">
      <w:pPr>
        <w:spacing w:before="120" w:after="120"/>
        <w:ind w:left="720" w:hanging="720"/>
        <w:jc w:val="right"/>
        <w:rPr>
          <w:rFonts w:ascii="Book Antiqua" w:hAnsi="Book Antiqua"/>
        </w:rPr>
      </w:pPr>
      <w:r w:rsidRPr="00DF53AC">
        <w:rPr>
          <w:rFonts w:ascii="Book Antiqua" w:hAnsi="Book Antiqua"/>
        </w:rPr>
        <w:t xml:space="preserve">Vivienne </w:t>
      </w:r>
      <w:proofErr w:type="spellStart"/>
      <w:r w:rsidRPr="00DF53AC">
        <w:rPr>
          <w:rFonts w:ascii="Book Antiqua" w:hAnsi="Book Antiqua"/>
        </w:rPr>
        <w:t>Macgillivray</w:t>
      </w:r>
      <w:proofErr w:type="spellEnd"/>
    </w:p>
    <w:p w14:paraId="58EBAE15" w14:textId="77777777" w:rsidR="009A20B5" w:rsidRPr="007917BE" w:rsidRDefault="009A20B5" w:rsidP="009A20B5">
      <w:pPr>
        <w:spacing w:before="120" w:after="120"/>
        <w:ind w:left="720" w:hanging="720"/>
        <w:jc w:val="right"/>
        <w:rPr>
          <w:rFonts w:ascii="Book Antiqua" w:hAnsi="Book Antiqua"/>
        </w:rPr>
      </w:pPr>
      <w:r w:rsidRPr="007917BE">
        <w:rPr>
          <w:rFonts w:ascii="Book Antiqua" w:hAnsi="Book Antiqua"/>
        </w:rPr>
        <w:t>Executive Associate to the Chief Justice</w:t>
      </w:r>
    </w:p>
    <w:p w14:paraId="64824E0B" w14:textId="43B8B1C5" w:rsidR="009A20B5" w:rsidRPr="003A2BD2" w:rsidRDefault="00BE48CB" w:rsidP="009A20B5">
      <w:pPr>
        <w:spacing w:before="120" w:after="120"/>
        <w:ind w:left="720" w:hanging="720"/>
        <w:jc w:val="right"/>
        <w:rPr>
          <w:rFonts w:ascii="Book Antiqua" w:hAnsi="Book Antiqua"/>
        </w:rPr>
      </w:pPr>
      <w:r>
        <w:rPr>
          <w:rFonts w:ascii="Book Antiqua" w:hAnsi="Book Antiqua"/>
        </w:rPr>
        <w:t>19</w:t>
      </w:r>
      <w:r w:rsidR="00AB752E">
        <w:rPr>
          <w:rFonts w:ascii="Book Antiqua" w:hAnsi="Book Antiqua"/>
        </w:rPr>
        <w:t xml:space="preserve"> July</w:t>
      </w:r>
      <w:r w:rsidR="009A20B5">
        <w:rPr>
          <w:rFonts w:ascii="Book Antiqua" w:hAnsi="Book Antiqua"/>
        </w:rPr>
        <w:t xml:space="preserve"> 2017</w:t>
      </w:r>
    </w:p>
    <w:p w14:paraId="0D122A8E" w14:textId="77777777" w:rsidR="003639B5" w:rsidRPr="007917BE" w:rsidRDefault="003639B5">
      <w:pPr>
        <w:spacing w:before="120" w:after="120"/>
        <w:ind w:left="720" w:hanging="720"/>
        <w:jc w:val="right"/>
        <w:rPr>
          <w:rFonts w:ascii="Book Antiqua" w:hAnsi="Book Antiqua"/>
        </w:rPr>
      </w:pPr>
    </w:p>
    <w:sectPr w:rsidR="003639B5" w:rsidRPr="007917BE" w:rsidSect="003817C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3AAD0" w14:textId="77777777" w:rsidR="00EE6171" w:rsidRDefault="00EE6171">
      <w:r>
        <w:separator/>
      </w:r>
    </w:p>
  </w:endnote>
  <w:endnote w:type="continuationSeparator" w:id="0">
    <w:p w14:paraId="5CE367C4" w14:textId="77777777" w:rsidR="00EE6171" w:rsidRDefault="00EE6171">
      <w:r>
        <w:continuationSeparator/>
      </w:r>
    </w:p>
  </w:endnote>
  <w:endnote w:type="continuationNotice" w:id="1">
    <w:p w14:paraId="684F8D38" w14:textId="77777777" w:rsidR="00EE6171" w:rsidRDefault="00EE6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1F4B82">
      <w:rPr>
        <w:noProof/>
      </w:rPr>
      <w:t>1</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0C014" w14:textId="77777777" w:rsidR="00EE6171" w:rsidRDefault="00EE6171">
      <w:r>
        <w:separator/>
      </w:r>
    </w:p>
  </w:footnote>
  <w:footnote w:type="continuationSeparator" w:id="0">
    <w:p w14:paraId="1D0E1E74" w14:textId="77777777" w:rsidR="00EE6171" w:rsidRDefault="00EE6171">
      <w:r>
        <w:continuationSeparator/>
      </w:r>
    </w:p>
  </w:footnote>
  <w:footnote w:type="continuationNotice" w:id="1">
    <w:p w14:paraId="0D5CCC31" w14:textId="77777777" w:rsidR="00EE6171" w:rsidRDefault="00EE6171"/>
  </w:footnote>
  <w:footnote w:id="2">
    <w:p w14:paraId="390829CD" w14:textId="6BE39AE9" w:rsidR="008929D1" w:rsidRDefault="008929D1">
      <w:pPr>
        <w:pStyle w:val="FootnoteText"/>
      </w:pPr>
      <w:r>
        <w:rPr>
          <w:rStyle w:val="FootnoteReference"/>
        </w:rPr>
        <w:footnoteRef/>
      </w:r>
      <w:r>
        <w:t xml:space="preserve"> </w:t>
      </w:r>
      <w:r w:rsidRPr="008929D1">
        <w:t>r 2.2(1)(a) of the Rules</w:t>
      </w:r>
    </w:p>
  </w:footnote>
  <w:footnote w:id="3">
    <w:p w14:paraId="0087F562" w14:textId="6DCAFFF8" w:rsidR="008929D1" w:rsidRDefault="008929D1">
      <w:pPr>
        <w:pStyle w:val="FootnoteText"/>
      </w:pPr>
      <w:r>
        <w:rPr>
          <w:rStyle w:val="FootnoteReference"/>
        </w:rPr>
        <w:footnoteRef/>
      </w:r>
      <w:r>
        <w:t xml:space="preserve"> </w:t>
      </w:r>
      <w:proofErr w:type="gramStart"/>
      <w:r w:rsidRPr="008929D1">
        <w:t>r</w:t>
      </w:r>
      <w:proofErr w:type="gramEnd"/>
      <w:r w:rsidRPr="008929D1">
        <w:t xml:space="preserve"> 2.4(1) of the Rules.</w:t>
      </w:r>
    </w:p>
  </w:footnote>
  <w:footnote w:id="4">
    <w:p w14:paraId="277F1C7B" w14:textId="45E99ECC" w:rsidR="008929D1" w:rsidRDefault="008929D1">
      <w:pPr>
        <w:pStyle w:val="FootnoteText"/>
      </w:pPr>
      <w:r>
        <w:rPr>
          <w:rStyle w:val="FootnoteReference"/>
        </w:rPr>
        <w:footnoteRef/>
      </w:r>
      <w:r>
        <w:t xml:space="preserve"> </w:t>
      </w:r>
      <w:proofErr w:type="gramStart"/>
      <w:r w:rsidRPr="008929D1">
        <w:t>r</w:t>
      </w:r>
      <w:proofErr w:type="gramEnd"/>
      <w:r w:rsidRPr="008929D1">
        <w:t xml:space="preserve"> 2.4(2) of the Rules.</w:t>
      </w:r>
    </w:p>
  </w:footnote>
  <w:footnote w:id="5">
    <w:p w14:paraId="15994212" w14:textId="5C28658B" w:rsidR="008929D1" w:rsidRDefault="008929D1">
      <w:pPr>
        <w:pStyle w:val="FootnoteText"/>
      </w:pPr>
      <w:r>
        <w:rPr>
          <w:rStyle w:val="FootnoteReference"/>
        </w:rPr>
        <w:footnoteRef/>
      </w:r>
      <w:r>
        <w:t xml:space="preserve"> </w:t>
      </w:r>
      <w:r w:rsidRPr="008929D1">
        <w:t>See Practice Note SC CC 1 – Commercial Court for the form of standard valuation and mediation orders.</w:t>
      </w:r>
    </w:p>
  </w:footnote>
  <w:footnote w:id="6">
    <w:p w14:paraId="3980CC4A" w14:textId="6E35B2E0" w:rsidR="004D3EC8" w:rsidRDefault="004D3EC8">
      <w:pPr>
        <w:pStyle w:val="FootnoteText"/>
      </w:pPr>
      <w:r>
        <w:rPr>
          <w:rStyle w:val="FootnoteReference"/>
        </w:rPr>
        <w:footnoteRef/>
      </w:r>
      <w:r>
        <w:t xml:space="preserve"> </w:t>
      </w:r>
      <w:r w:rsidRPr="004D3EC8">
        <w:t xml:space="preserve">See Order 28A of the </w:t>
      </w:r>
      <w:r w:rsidRPr="004D3EC8">
        <w:rPr>
          <w:i/>
        </w:rPr>
        <w:t xml:space="preserve">Supreme Court (General Civil Procedure) Rules </w:t>
      </w:r>
      <w:r w:rsidRPr="00447BBF">
        <w:t>2015</w:t>
      </w:r>
      <w:r w:rsidRPr="004D3EC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70CA2"/>
    <w:rsid w:val="00070D66"/>
    <w:rsid w:val="00071A96"/>
    <w:rsid w:val="00073139"/>
    <w:rsid w:val="00073769"/>
    <w:rsid w:val="00077863"/>
    <w:rsid w:val="0008041A"/>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3B18"/>
    <w:rsid w:val="000F6EA7"/>
    <w:rsid w:val="00100006"/>
    <w:rsid w:val="00101EC5"/>
    <w:rsid w:val="001033CC"/>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5A8C"/>
    <w:rsid w:val="00197CA4"/>
    <w:rsid w:val="001A22B3"/>
    <w:rsid w:val="001A5036"/>
    <w:rsid w:val="001A5B39"/>
    <w:rsid w:val="001A667F"/>
    <w:rsid w:val="001A7651"/>
    <w:rsid w:val="001B3484"/>
    <w:rsid w:val="001B4283"/>
    <w:rsid w:val="001B7E2C"/>
    <w:rsid w:val="001C116C"/>
    <w:rsid w:val="001C2F4B"/>
    <w:rsid w:val="001E0318"/>
    <w:rsid w:val="001F4B82"/>
    <w:rsid w:val="00207367"/>
    <w:rsid w:val="00216DCF"/>
    <w:rsid w:val="00217758"/>
    <w:rsid w:val="00217E88"/>
    <w:rsid w:val="002218C5"/>
    <w:rsid w:val="00222544"/>
    <w:rsid w:val="0022666D"/>
    <w:rsid w:val="0023426A"/>
    <w:rsid w:val="00234B7B"/>
    <w:rsid w:val="00241A4E"/>
    <w:rsid w:val="00245746"/>
    <w:rsid w:val="00247F50"/>
    <w:rsid w:val="002572C2"/>
    <w:rsid w:val="0026005D"/>
    <w:rsid w:val="00265BF9"/>
    <w:rsid w:val="00266BA4"/>
    <w:rsid w:val="00271B59"/>
    <w:rsid w:val="00275A5A"/>
    <w:rsid w:val="00277B7B"/>
    <w:rsid w:val="002812ED"/>
    <w:rsid w:val="0028130B"/>
    <w:rsid w:val="002B465A"/>
    <w:rsid w:val="002C1134"/>
    <w:rsid w:val="002C56E8"/>
    <w:rsid w:val="002D0AB0"/>
    <w:rsid w:val="002D0FD3"/>
    <w:rsid w:val="002D23D8"/>
    <w:rsid w:val="002D6E79"/>
    <w:rsid w:val="002E0F6B"/>
    <w:rsid w:val="002E6B43"/>
    <w:rsid w:val="002E7FD2"/>
    <w:rsid w:val="002F4D7F"/>
    <w:rsid w:val="003007F8"/>
    <w:rsid w:val="00300F4B"/>
    <w:rsid w:val="00302981"/>
    <w:rsid w:val="0030352D"/>
    <w:rsid w:val="00305761"/>
    <w:rsid w:val="00307B60"/>
    <w:rsid w:val="00310655"/>
    <w:rsid w:val="00310A32"/>
    <w:rsid w:val="00311051"/>
    <w:rsid w:val="0031222C"/>
    <w:rsid w:val="003166D1"/>
    <w:rsid w:val="00321C75"/>
    <w:rsid w:val="0032286C"/>
    <w:rsid w:val="00334DD3"/>
    <w:rsid w:val="00335CDD"/>
    <w:rsid w:val="00340257"/>
    <w:rsid w:val="0034260E"/>
    <w:rsid w:val="003472CD"/>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4324"/>
    <w:rsid w:val="00386C9F"/>
    <w:rsid w:val="00387DB3"/>
    <w:rsid w:val="00391CA0"/>
    <w:rsid w:val="003945D8"/>
    <w:rsid w:val="00396EF2"/>
    <w:rsid w:val="00397AAE"/>
    <w:rsid w:val="003A7A5A"/>
    <w:rsid w:val="003A7E6C"/>
    <w:rsid w:val="003B7248"/>
    <w:rsid w:val="003C07C2"/>
    <w:rsid w:val="003C3126"/>
    <w:rsid w:val="003C343E"/>
    <w:rsid w:val="003C5C64"/>
    <w:rsid w:val="003C62F1"/>
    <w:rsid w:val="003D0A67"/>
    <w:rsid w:val="003D59A0"/>
    <w:rsid w:val="003D672F"/>
    <w:rsid w:val="003E4C44"/>
    <w:rsid w:val="003E6152"/>
    <w:rsid w:val="003E66CF"/>
    <w:rsid w:val="003F0D9C"/>
    <w:rsid w:val="0040410A"/>
    <w:rsid w:val="00404CB0"/>
    <w:rsid w:val="00414B77"/>
    <w:rsid w:val="0042138B"/>
    <w:rsid w:val="00434BEE"/>
    <w:rsid w:val="004361F0"/>
    <w:rsid w:val="00441431"/>
    <w:rsid w:val="00447BBF"/>
    <w:rsid w:val="00452F1B"/>
    <w:rsid w:val="00454495"/>
    <w:rsid w:val="00455D46"/>
    <w:rsid w:val="00461361"/>
    <w:rsid w:val="00471414"/>
    <w:rsid w:val="00474F94"/>
    <w:rsid w:val="00482EBE"/>
    <w:rsid w:val="00483F1E"/>
    <w:rsid w:val="004912F2"/>
    <w:rsid w:val="00492363"/>
    <w:rsid w:val="0049326B"/>
    <w:rsid w:val="00494220"/>
    <w:rsid w:val="004946BD"/>
    <w:rsid w:val="0049669C"/>
    <w:rsid w:val="00496F08"/>
    <w:rsid w:val="004B1AC7"/>
    <w:rsid w:val="004B2A72"/>
    <w:rsid w:val="004B4458"/>
    <w:rsid w:val="004B5756"/>
    <w:rsid w:val="004B6E9A"/>
    <w:rsid w:val="004C1FFA"/>
    <w:rsid w:val="004C29B1"/>
    <w:rsid w:val="004C3AE5"/>
    <w:rsid w:val="004D07F1"/>
    <w:rsid w:val="004D1112"/>
    <w:rsid w:val="004D2141"/>
    <w:rsid w:val="004D3EC8"/>
    <w:rsid w:val="004D7CC0"/>
    <w:rsid w:val="004E1038"/>
    <w:rsid w:val="004E1052"/>
    <w:rsid w:val="004E10CA"/>
    <w:rsid w:val="004E284B"/>
    <w:rsid w:val="004F61E8"/>
    <w:rsid w:val="004F7E81"/>
    <w:rsid w:val="0050429E"/>
    <w:rsid w:val="00506B52"/>
    <w:rsid w:val="00512025"/>
    <w:rsid w:val="005123B0"/>
    <w:rsid w:val="005158D2"/>
    <w:rsid w:val="005173D2"/>
    <w:rsid w:val="005278A1"/>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48AB"/>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7E5"/>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258C7"/>
    <w:rsid w:val="00734F12"/>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D4E2B"/>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9D1"/>
    <w:rsid w:val="00892D21"/>
    <w:rsid w:val="00892FF7"/>
    <w:rsid w:val="008942F1"/>
    <w:rsid w:val="008A4768"/>
    <w:rsid w:val="008A636D"/>
    <w:rsid w:val="008B0EC2"/>
    <w:rsid w:val="008B1575"/>
    <w:rsid w:val="008B3490"/>
    <w:rsid w:val="008B47EA"/>
    <w:rsid w:val="008C027C"/>
    <w:rsid w:val="008C41FA"/>
    <w:rsid w:val="008C5086"/>
    <w:rsid w:val="008D6EBF"/>
    <w:rsid w:val="008E2F41"/>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16DD"/>
    <w:rsid w:val="009A20B5"/>
    <w:rsid w:val="009A45B0"/>
    <w:rsid w:val="009B1B66"/>
    <w:rsid w:val="009B3159"/>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3E5C"/>
    <w:rsid w:val="00A16095"/>
    <w:rsid w:val="00A1734D"/>
    <w:rsid w:val="00A222B3"/>
    <w:rsid w:val="00A64EE1"/>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B752E"/>
    <w:rsid w:val="00AC2F4D"/>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48CB"/>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92881"/>
    <w:rsid w:val="00C96FB5"/>
    <w:rsid w:val="00C979D7"/>
    <w:rsid w:val="00CB2437"/>
    <w:rsid w:val="00CB2EDD"/>
    <w:rsid w:val="00CC2810"/>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5BEA"/>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2D10"/>
    <w:rsid w:val="00DF4878"/>
    <w:rsid w:val="00DF52D4"/>
    <w:rsid w:val="00E05506"/>
    <w:rsid w:val="00E0551B"/>
    <w:rsid w:val="00E11319"/>
    <w:rsid w:val="00E12AC0"/>
    <w:rsid w:val="00E15CF5"/>
    <w:rsid w:val="00E16169"/>
    <w:rsid w:val="00E20381"/>
    <w:rsid w:val="00E2055A"/>
    <w:rsid w:val="00E23A7E"/>
    <w:rsid w:val="00E25646"/>
    <w:rsid w:val="00E27289"/>
    <w:rsid w:val="00E2776C"/>
    <w:rsid w:val="00E27982"/>
    <w:rsid w:val="00E27C88"/>
    <w:rsid w:val="00E52E8C"/>
    <w:rsid w:val="00E54AD4"/>
    <w:rsid w:val="00E61AA5"/>
    <w:rsid w:val="00E62BC4"/>
    <w:rsid w:val="00E66EDC"/>
    <w:rsid w:val="00E74D52"/>
    <w:rsid w:val="00E90334"/>
    <w:rsid w:val="00E92B4E"/>
    <w:rsid w:val="00EA0DB8"/>
    <w:rsid w:val="00EA141C"/>
    <w:rsid w:val="00EA2EB9"/>
    <w:rsid w:val="00EA6CDF"/>
    <w:rsid w:val="00EC0977"/>
    <w:rsid w:val="00EC4A6A"/>
    <w:rsid w:val="00EC6B3A"/>
    <w:rsid w:val="00ED25C1"/>
    <w:rsid w:val="00ED61FE"/>
    <w:rsid w:val="00EE6009"/>
    <w:rsid w:val="00EE6171"/>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6" ma:contentTypeDescription="Create a new document." ma:contentTypeScope="" ma:versionID="6ee43a75f356c58a123983f6782fe504">
  <xsd:schema xmlns:xsd="http://www.w3.org/2001/XMLSchema" xmlns:xs="http://www.w3.org/2001/XMLSchema" xmlns:p="http://schemas.microsoft.com/office/2006/metadata/properties" xmlns:ns2="3d35400e-913e-4289-a6bb-c9c808f4167f" xmlns:ns3="ae5de5e2-f431-4f49-8dfe-a828a6c1d620" targetNamespace="http://schemas.microsoft.com/office/2006/metadata/properties" ma:root="true" ma:fieldsID="c0c4d65d3f4f684164cddab996f5c226" ns2:_="" ns3:_="">
    <xsd:import namespace="3d35400e-913e-4289-a6bb-c9c808f4167f"/>
    <xsd:import namespace="ae5de5e2-f431-4f49-8dfe-a828a6c1d6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de5e2-f431-4f49-8dfe-a828a6c1d6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e5de5e2-f431-4f49-8dfe-a828a6c1d620"/>
    <ds:schemaRef ds:uri="http://purl.org/dc/elements/1.1/"/>
    <ds:schemaRef ds:uri="http://schemas.microsoft.com/office/2006/metadata/properties"/>
    <ds:schemaRef ds:uri="3d35400e-913e-4289-a6bb-c9c808f4167f"/>
    <ds:schemaRef ds:uri="http://www.w3.org/XML/1998/namespace"/>
    <ds:schemaRef ds:uri="http://purl.org/dc/dcmitype/"/>
  </ds:schemaRefs>
</ds:datastoreItem>
</file>

<file path=customXml/itemProps2.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3.xml><?xml version="1.0" encoding="utf-8"?>
<ds:datastoreItem xmlns:ds="http://schemas.openxmlformats.org/officeDocument/2006/customXml" ds:itemID="{C128D847-93B4-4CD3-BB14-575340E0B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ae5de5e2-f431-4f49-8dfe-a828a6c1d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5.xml><?xml version="1.0" encoding="utf-8"?>
<ds:datastoreItem xmlns:ds="http://schemas.openxmlformats.org/officeDocument/2006/customXml" ds:itemID="{E618B35C-82A0-4773-8C9D-A6B7B72A8382}">
  <ds:schemaRefs>
    <ds:schemaRef ds:uri="http://schemas.openxmlformats.org/officeDocument/2006/bibliography"/>
  </ds:schemaRefs>
</ds:datastoreItem>
</file>

<file path=customXml/itemProps6.xml><?xml version="1.0" encoding="utf-8"?>
<ds:datastoreItem xmlns:ds="http://schemas.openxmlformats.org/officeDocument/2006/customXml" ds:itemID="{3AA82642-9B67-4D02-B3FE-35F3E479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1224</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4</cp:revision>
  <cp:lastPrinted>2017-07-19T05:15:00Z</cp:lastPrinted>
  <dcterms:created xsi:type="dcterms:W3CDTF">2017-07-19T05:13:00Z</dcterms:created>
  <dcterms:modified xsi:type="dcterms:W3CDTF">2017-07-19T05:56:00Z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