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2AE77DB4"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613D24">
        <w:rPr>
          <w:rFonts w:ascii="Book Antiqua" w:hAnsi="Book Antiqua"/>
          <w:b/>
          <w:color w:val="000000"/>
          <w:sz w:val="28"/>
        </w:rPr>
        <w:t>C</w:t>
      </w:r>
      <w:r w:rsidR="003817CD">
        <w:rPr>
          <w:rFonts w:ascii="Book Antiqua" w:hAnsi="Book Antiqua"/>
          <w:b/>
          <w:color w:val="000000"/>
          <w:sz w:val="28"/>
        </w:rPr>
        <w:t>C</w:t>
      </w:r>
      <w:r w:rsidR="00B72C47" w:rsidRPr="007917BE">
        <w:rPr>
          <w:rFonts w:ascii="Book Antiqua" w:hAnsi="Book Antiqua"/>
          <w:b/>
          <w:color w:val="000000"/>
          <w:sz w:val="28"/>
        </w:rPr>
        <w:t xml:space="preserve"> </w:t>
      </w:r>
      <w:r w:rsidR="00640512">
        <w:rPr>
          <w:rFonts w:ascii="Book Antiqua" w:hAnsi="Book Antiqua"/>
          <w:b/>
          <w:color w:val="000000"/>
          <w:sz w:val="28"/>
        </w:rPr>
        <w:t>3</w:t>
      </w:r>
    </w:p>
    <w:p w14:paraId="66779301" w14:textId="39900A9E" w:rsidR="00271B59" w:rsidRDefault="00613D24" w:rsidP="00CD0331">
      <w:pPr>
        <w:autoSpaceDE w:val="0"/>
        <w:autoSpaceDN w:val="0"/>
        <w:adjustRightInd w:val="0"/>
        <w:spacing w:before="120" w:after="120"/>
        <w:jc w:val="center"/>
        <w:rPr>
          <w:rFonts w:ascii="Book Antiqua" w:hAnsi="Book Antiqua"/>
          <w:b/>
          <w:color w:val="000000"/>
          <w:sz w:val="28"/>
        </w:rPr>
      </w:pPr>
      <w:r w:rsidRPr="00613D24">
        <w:rPr>
          <w:rFonts w:ascii="Book Antiqua" w:hAnsi="Book Antiqua"/>
          <w:b/>
          <w:color w:val="000000"/>
          <w:sz w:val="28"/>
        </w:rPr>
        <w:t>Commercial Arbitration Business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35043618"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 describe</w:t>
      </w:r>
      <w:r w:rsidR="0040173B">
        <w:rPr>
          <w:rFonts w:ascii="Book Antiqua" w:hAnsi="Book Antiqua"/>
          <w:sz w:val="24"/>
          <w:szCs w:val="24"/>
        </w:rPr>
        <w:t xml:space="preserve"> and provide guidance on</w:t>
      </w:r>
      <w:r w:rsidR="00222544">
        <w:rPr>
          <w:rFonts w:ascii="Book Antiqua" w:hAnsi="Book Antiqua"/>
          <w:sz w:val="24"/>
          <w:szCs w:val="24"/>
        </w:rPr>
        <w:t xml:space="preserve"> the pr</w:t>
      </w:r>
      <w:r w:rsidR="002D6E79">
        <w:rPr>
          <w:rFonts w:ascii="Book Antiqua" w:hAnsi="Book Antiqua"/>
          <w:sz w:val="24"/>
          <w:szCs w:val="24"/>
        </w:rPr>
        <w:t>ocedur</w:t>
      </w:r>
      <w:r w:rsidR="0040173B">
        <w:rPr>
          <w:rFonts w:ascii="Book Antiqua" w:hAnsi="Book Antiqua"/>
          <w:sz w:val="24"/>
          <w:szCs w:val="24"/>
        </w:rPr>
        <w:t>es to be followed in the Arbitration List.</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7CA5CC15" w:rsidR="00FD72DE" w:rsidRPr="00277B7B" w:rsidRDefault="00B72C47" w:rsidP="00645B63">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277B7B">
        <w:rPr>
          <w:rFonts w:ascii="Book Antiqua" w:hAnsi="Book Antiqua"/>
          <w:sz w:val="24"/>
          <w:szCs w:val="24"/>
        </w:rPr>
        <w:t>was issued on</w:t>
      </w:r>
      <w:r w:rsidR="00902DA1">
        <w:rPr>
          <w:rFonts w:ascii="Book Antiqua" w:hAnsi="Book Antiqua"/>
          <w:sz w:val="24"/>
          <w:szCs w:val="24"/>
        </w:rPr>
        <w:t xml:space="preserve"> 30</w:t>
      </w:r>
      <w:r w:rsidR="00806059">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commences on</w:t>
      </w:r>
      <w:r w:rsidR="00902DA1">
        <w:rPr>
          <w:rFonts w:ascii="Book Antiqua" w:hAnsi="Book Antiqua"/>
          <w:sz w:val="24"/>
          <w:szCs w:val="24"/>
        </w:rPr>
        <w:t xml:space="preserve"> 30</w:t>
      </w:r>
      <w:r w:rsidR="00806059">
        <w:rPr>
          <w:rFonts w:ascii="Book Antiqua" w:hAnsi="Book Antiqua"/>
          <w:sz w:val="24"/>
          <w:szCs w:val="24"/>
        </w:rPr>
        <w:t xml:space="preserve"> January 2017</w:t>
      </w:r>
      <w:r w:rsidRPr="00277B7B">
        <w:rPr>
          <w:rFonts w:ascii="Book Antiqua" w:hAnsi="Book Antiqua"/>
          <w:sz w:val="24"/>
          <w:szCs w:val="24"/>
        </w:rPr>
        <w:t xml:space="preserve"> and will apply to</w:t>
      </w:r>
      <w:r w:rsidR="00B56E01">
        <w:rPr>
          <w:rFonts w:ascii="Book Antiqua" w:hAnsi="Book Antiqua"/>
          <w:sz w:val="24"/>
          <w:szCs w:val="24"/>
        </w:rPr>
        <w:t xml:space="preserve"> </w:t>
      </w:r>
      <w:r w:rsidR="0026259E">
        <w:rPr>
          <w:rFonts w:ascii="Book Antiqua" w:hAnsi="Book Antiqua"/>
          <w:sz w:val="24"/>
          <w:szCs w:val="24"/>
        </w:rPr>
        <w:t>relevant</w:t>
      </w:r>
      <w:r w:rsidR="0026259E" w:rsidRPr="00277B7B">
        <w:rPr>
          <w:rFonts w:ascii="Book Antiqua" w:hAnsi="Book Antiqua"/>
          <w:sz w:val="24"/>
          <w:szCs w:val="24"/>
        </w:rPr>
        <w:t xml:space="preserve"> </w:t>
      </w:r>
      <w:r w:rsidRPr="00277B7B">
        <w:rPr>
          <w:rFonts w:ascii="Book Antiqua" w:hAnsi="Book Antiqua"/>
          <w:sz w:val="24"/>
          <w:szCs w:val="24"/>
        </w:rPr>
        <w:t xml:space="preserve">proceedings commenced in the </w:t>
      </w:r>
      <w:r w:rsidR="00B56E01">
        <w:rPr>
          <w:rFonts w:ascii="Book Antiqua" w:hAnsi="Book Antiqua"/>
          <w:sz w:val="24"/>
          <w:szCs w:val="24"/>
        </w:rPr>
        <w:t>Arbitration List</w:t>
      </w:r>
      <w:r w:rsidR="0026259E">
        <w:rPr>
          <w:rFonts w:ascii="Book Antiqua" w:hAnsi="Book Antiqua"/>
          <w:sz w:val="24"/>
          <w:szCs w:val="24"/>
        </w:rPr>
        <w:t xml:space="preserve">. </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645B63" w:rsidRDefault="00B72C47" w:rsidP="00CD0331">
      <w:pPr>
        <w:pStyle w:val="Heading1"/>
        <w:spacing w:before="120" w:after="120"/>
        <w:rPr>
          <w:rFonts w:ascii="Book Antiqua" w:hAnsi="Book Antiqua"/>
          <w:szCs w:val="24"/>
        </w:rPr>
      </w:pPr>
      <w:r w:rsidRPr="00645B63">
        <w:rPr>
          <w:rFonts w:ascii="Book Antiqua" w:hAnsi="Book Antiqua"/>
          <w:szCs w:val="24"/>
        </w:rPr>
        <w:t>DEFINITIONS</w:t>
      </w:r>
    </w:p>
    <w:p w14:paraId="50FDD10D" w14:textId="4F727F6A" w:rsidR="007917BE" w:rsidRDefault="006F60CF" w:rsidP="00645B6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754EEB39" w14:textId="6B202DE2" w:rsidR="002E4ACD" w:rsidRDefault="002E4ACD" w:rsidP="00645B63">
      <w:pPr>
        <w:pStyle w:val="ListParagraph"/>
        <w:spacing w:before="120" w:after="120"/>
        <w:jc w:val="both"/>
        <w:rPr>
          <w:rFonts w:ascii="Book Antiqua" w:hAnsi="Book Antiqua"/>
          <w:sz w:val="24"/>
          <w:szCs w:val="24"/>
        </w:rPr>
      </w:pPr>
      <w:r w:rsidRPr="002E4ACD">
        <w:rPr>
          <w:rFonts w:ascii="Book Antiqua" w:hAnsi="Book Antiqua"/>
          <w:b/>
          <w:i/>
          <w:sz w:val="24"/>
          <w:szCs w:val="24"/>
        </w:rPr>
        <w:t>Arbitration Rules</w:t>
      </w:r>
      <w:r>
        <w:rPr>
          <w:rFonts w:ascii="Book Antiqua" w:hAnsi="Book Antiqua"/>
          <w:sz w:val="24"/>
          <w:szCs w:val="24"/>
        </w:rPr>
        <w:t xml:space="preserve"> means the </w:t>
      </w:r>
      <w:r w:rsidRPr="00DA35FA">
        <w:rPr>
          <w:rFonts w:ascii="Book Antiqua" w:hAnsi="Book Antiqua"/>
          <w:i/>
          <w:sz w:val="24"/>
          <w:szCs w:val="24"/>
        </w:rPr>
        <w:t xml:space="preserve">Supreme Court (Chapter II Arbitration Amendment) Rules </w:t>
      </w:r>
      <w:r w:rsidRPr="00DA35FA">
        <w:rPr>
          <w:rFonts w:ascii="Book Antiqua" w:hAnsi="Book Antiqua"/>
          <w:sz w:val="24"/>
          <w:szCs w:val="24"/>
        </w:rPr>
        <w:t>2014 (No 205/2014)</w:t>
      </w:r>
    </w:p>
    <w:p w14:paraId="5D5B7A65" w14:textId="534C18DA" w:rsidR="0095412A" w:rsidRPr="0095412A" w:rsidRDefault="0095412A" w:rsidP="00645B63">
      <w:pPr>
        <w:pStyle w:val="ListParagraph"/>
        <w:spacing w:before="120" w:after="120"/>
        <w:jc w:val="both"/>
        <w:rPr>
          <w:rFonts w:ascii="Book Antiqua" w:hAnsi="Book Antiqua"/>
          <w:sz w:val="24"/>
          <w:szCs w:val="24"/>
        </w:rPr>
      </w:pPr>
      <w:r>
        <w:rPr>
          <w:rFonts w:ascii="Book Antiqua" w:hAnsi="Book Antiqua"/>
          <w:b/>
          <w:i/>
          <w:sz w:val="24"/>
          <w:szCs w:val="24"/>
        </w:rPr>
        <w:t xml:space="preserve">New York Convention </w:t>
      </w:r>
      <w:r>
        <w:rPr>
          <w:rFonts w:ascii="Book Antiqua" w:hAnsi="Book Antiqua"/>
          <w:sz w:val="24"/>
          <w:szCs w:val="24"/>
        </w:rPr>
        <w:t xml:space="preserve">means the </w:t>
      </w:r>
      <w:r w:rsidRPr="00FB1AFD">
        <w:rPr>
          <w:rFonts w:ascii="Book Antiqua" w:hAnsi="Book Antiqua"/>
          <w:sz w:val="24"/>
          <w:szCs w:val="24"/>
        </w:rPr>
        <w:t xml:space="preserve">Convention on the Recognition and Enforcement of Foreign Arbitral Awards 1958 </w:t>
      </w:r>
    </w:p>
    <w:p w14:paraId="4C8D22D9" w14:textId="15BE6A83" w:rsidR="00063883" w:rsidRDefault="00063883" w:rsidP="00645B63">
      <w:pPr>
        <w:pStyle w:val="ListParagraph"/>
        <w:spacing w:before="120" w:after="120"/>
        <w:jc w:val="both"/>
        <w:rPr>
          <w:rFonts w:ascii="Book Antiqua" w:hAnsi="Book Antiqua"/>
          <w:sz w:val="24"/>
          <w:szCs w:val="24"/>
        </w:rPr>
      </w:pPr>
      <w:r>
        <w:rPr>
          <w:rFonts w:ascii="Book Antiqua" w:hAnsi="Book Antiqua"/>
          <w:b/>
          <w:i/>
          <w:sz w:val="24"/>
          <w:szCs w:val="24"/>
        </w:rPr>
        <w:t xml:space="preserve">UNCITRAL </w:t>
      </w:r>
      <w:r>
        <w:rPr>
          <w:rFonts w:ascii="Book Antiqua" w:hAnsi="Book Antiqua"/>
          <w:sz w:val="24"/>
          <w:szCs w:val="24"/>
        </w:rPr>
        <w:t xml:space="preserve">means </w:t>
      </w:r>
      <w:r w:rsidRPr="00FB1AFD">
        <w:rPr>
          <w:rFonts w:ascii="Book Antiqua" w:hAnsi="Book Antiqua"/>
          <w:sz w:val="24"/>
          <w:szCs w:val="24"/>
        </w:rPr>
        <w:t>the United Nations Commissi</w:t>
      </w:r>
      <w:r>
        <w:rPr>
          <w:rFonts w:ascii="Book Antiqua" w:hAnsi="Book Antiqua"/>
          <w:sz w:val="24"/>
          <w:szCs w:val="24"/>
        </w:rPr>
        <w:t>on on International Trade Law</w:t>
      </w:r>
    </w:p>
    <w:p w14:paraId="50D6E3EA" w14:textId="3C5EC91A" w:rsidR="006F60CF" w:rsidRDefault="00063883" w:rsidP="00645B63">
      <w:pPr>
        <w:pStyle w:val="ListParagraph"/>
        <w:spacing w:before="120" w:after="120"/>
        <w:jc w:val="both"/>
        <w:rPr>
          <w:rFonts w:ascii="Book Antiqua" w:hAnsi="Book Antiqua"/>
          <w:sz w:val="24"/>
          <w:szCs w:val="24"/>
        </w:rPr>
      </w:pPr>
      <w:r w:rsidRPr="00063883">
        <w:rPr>
          <w:rFonts w:ascii="Book Antiqua" w:hAnsi="Book Antiqua"/>
          <w:b/>
          <w:i/>
          <w:sz w:val="24"/>
          <w:szCs w:val="24"/>
        </w:rPr>
        <w:t>The Model Law</w:t>
      </w:r>
      <w:r>
        <w:rPr>
          <w:rFonts w:ascii="Book Antiqua" w:hAnsi="Book Antiqua"/>
          <w:sz w:val="24"/>
          <w:szCs w:val="24"/>
        </w:rPr>
        <w:t xml:space="preserve"> means the</w:t>
      </w:r>
      <w:r w:rsidRPr="00063883">
        <w:rPr>
          <w:rFonts w:ascii="Book Antiqua" w:hAnsi="Book Antiqua"/>
          <w:sz w:val="24"/>
          <w:szCs w:val="24"/>
        </w:rPr>
        <w:t xml:space="preserve"> </w:t>
      </w:r>
      <w:r>
        <w:rPr>
          <w:rFonts w:ascii="Book Antiqua" w:hAnsi="Book Antiqua"/>
          <w:sz w:val="24"/>
          <w:szCs w:val="24"/>
        </w:rPr>
        <w:t xml:space="preserve">UNCITRAL </w:t>
      </w:r>
      <w:r w:rsidRPr="00FB1AFD">
        <w:rPr>
          <w:rFonts w:ascii="Book Antiqua" w:hAnsi="Book Antiqua"/>
          <w:i/>
          <w:sz w:val="24"/>
          <w:szCs w:val="24"/>
        </w:rPr>
        <w:t>Model Law on International Commercial Arbitration</w:t>
      </w:r>
      <w:r w:rsidRPr="00FB1AFD">
        <w:rPr>
          <w:rFonts w:ascii="Book Antiqua" w:hAnsi="Book Antiqua"/>
          <w:sz w:val="24"/>
          <w:szCs w:val="24"/>
        </w:rPr>
        <w:t xml:space="preserve"> 1985 </w:t>
      </w:r>
    </w:p>
    <w:p w14:paraId="61C860F0" w14:textId="0A97DD07" w:rsidR="00C02583" w:rsidRPr="00DA35FA" w:rsidRDefault="00DA35FA" w:rsidP="00CD0331">
      <w:pPr>
        <w:pStyle w:val="Heading1"/>
        <w:spacing w:before="120" w:after="120"/>
        <w:rPr>
          <w:rFonts w:ascii="Book Antiqua" w:hAnsi="Book Antiqua"/>
          <w:szCs w:val="24"/>
        </w:rPr>
      </w:pPr>
      <w:r w:rsidRPr="00DA35FA">
        <w:rPr>
          <w:rFonts w:ascii="Book Antiqua" w:hAnsi="Book Antiqua"/>
          <w:szCs w:val="24"/>
        </w:rPr>
        <w:t xml:space="preserve">COURT SUPPORT FOR ARBITRATION </w:t>
      </w:r>
    </w:p>
    <w:p w14:paraId="6218E136" w14:textId="65DB9D59" w:rsidR="00D97628" w:rsidRPr="00DA35FA" w:rsidRDefault="00DA35FA" w:rsidP="00645B63">
      <w:pPr>
        <w:pStyle w:val="ListParagraph"/>
        <w:numPr>
          <w:ilvl w:val="1"/>
          <w:numId w:val="24"/>
        </w:numPr>
        <w:spacing w:before="120" w:after="120"/>
        <w:ind w:left="720" w:hanging="720"/>
        <w:jc w:val="both"/>
        <w:rPr>
          <w:rFonts w:ascii="Book Antiqua" w:hAnsi="Book Antiqua"/>
          <w:sz w:val="24"/>
          <w:szCs w:val="24"/>
        </w:rPr>
      </w:pPr>
      <w:r w:rsidRPr="00DA35FA">
        <w:rPr>
          <w:rFonts w:ascii="Book Antiqua" w:hAnsi="Book Antiqua"/>
          <w:sz w:val="24"/>
          <w:szCs w:val="24"/>
        </w:rPr>
        <w:t>The Court is supportive of the wishes of disputants to resolve all or part of their dispute by arbitration and will assist parties in a variety of ways, including –</w:t>
      </w:r>
    </w:p>
    <w:p w14:paraId="42524BDD" w14:textId="61775EFB" w:rsidR="00DA35FA" w:rsidRPr="00DA35FA" w:rsidRDefault="00DA35FA" w:rsidP="00645B63">
      <w:pPr>
        <w:pStyle w:val="ListParagraph"/>
        <w:numPr>
          <w:ilvl w:val="0"/>
          <w:numId w:val="26"/>
        </w:numPr>
        <w:spacing w:before="120" w:after="120"/>
        <w:ind w:left="1080"/>
        <w:jc w:val="both"/>
        <w:rPr>
          <w:rFonts w:ascii="Book Antiqua" w:hAnsi="Book Antiqua"/>
          <w:sz w:val="24"/>
          <w:szCs w:val="24"/>
        </w:rPr>
      </w:pPr>
      <w:r w:rsidRPr="00DA35FA">
        <w:rPr>
          <w:rFonts w:ascii="Book Antiqua" w:hAnsi="Book Antiqua"/>
          <w:sz w:val="24"/>
          <w:szCs w:val="24"/>
        </w:rPr>
        <w:t>assistance and support for the arbitration process (e.g. subpoenas to witnesses or for production of documents, interim measures of protection (injunctive relief or otherwise) and orders with respect to the constitution of the arbitral tribunal);</w:t>
      </w:r>
    </w:p>
    <w:p w14:paraId="6A3530D4" w14:textId="607FA958" w:rsidR="00DA35FA" w:rsidRPr="00DA35FA" w:rsidRDefault="00DA35FA" w:rsidP="00645B63">
      <w:pPr>
        <w:pStyle w:val="ListParagraph"/>
        <w:numPr>
          <w:ilvl w:val="0"/>
          <w:numId w:val="26"/>
        </w:numPr>
        <w:spacing w:before="120" w:after="120"/>
        <w:ind w:left="1080"/>
        <w:jc w:val="both"/>
        <w:rPr>
          <w:rFonts w:ascii="Book Antiqua" w:hAnsi="Book Antiqua"/>
          <w:sz w:val="24"/>
          <w:szCs w:val="24"/>
        </w:rPr>
      </w:pPr>
      <w:r w:rsidRPr="00DA35FA">
        <w:rPr>
          <w:rFonts w:ascii="Book Antiqua" w:hAnsi="Book Antiqua"/>
          <w:sz w:val="24"/>
          <w:szCs w:val="24"/>
        </w:rPr>
        <w:lastRenderedPageBreak/>
        <w:t>recognition and enforcement of arbitration awards and orders of arbitral tribunals (to the extent permitted under the statutory or other bases of the arbitration process);</w:t>
      </w:r>
    </w:p>
    <w:p w14:paraId="159F232A" w14:textId="7D7FE0E7" w:rsidR="00DA35FA" w:rsidRPr="00DA35FA" w:rsidRDefault="00DA35FA" w:rsidP="00645B63">
      <w:pPr>
        <w:pStyle w:val="ListParagraph"/>
        <w:numPr>
          <w:ilvl w:val="0"/>
          <w:numId w:val="26"/>
        </w:numPr>
        <w:spacing w:before="120" w:after="120"/>
        <w:ind w:left="1080"/>
        <w:jc w:val="both"/>
        <w:rPr>
          <w:rFonts w:ascii="Book Antiqua" w:hAnsi="Book Antiqua"/>
          <w:sz w:val="24"/>
          <w:szCs w:val="24"/>
        </w:rPr>
      </w:pPr>
      <w:r w:rsidRPr="00DA35FA">
        <w:rPr>
          <w:rFonts w:ascii="Book Antiqua" w:hAnsi="Book Antiqua"/>
          <w:sz w:val="24"/>
          <w:szCs w:val="24"/>
        </w:rPr>
        <w:t>determination of discrete questions of law which arbitrators or parties are able to refer to the Court (depending on the statutory or other bases of the arbitration process); and</w:t>
      </w:r>
    </w:p>
    <w:p w14:paraId="4423EFFE" w14:textId="09D924DE" w:rsidR="00DA35FA" w:rsidRPr="00DA35FA" w:rsidRDefault="00DA35FA" w:rsidP="00645B63">
      <w:pPr>
        <w:pStyle w:val="ListParagraph"/>
        <w:numPr>
          <w:ilvl w:val="0"/>
          <w:numId w:val="26"/>
        </w:numPr>
        <w:spacing w:before="120" w:after="120"/>
        <w:ind w:left="1080"/>
        <w:jc w:val="both"/>
        <w:rPr>
          <w:rFonts w:ascii="Book Antiqua" w:hAnsi="Book Antiqua"/>
          <w:sz w:val="24"/>
          <w:szCs w:val="24"/>
        </w:rPr>
      </w:pPr>
      <w:proofErr w:type="gramStart"/>
      <w:r w:rsidRPr="00DA35FA">
        <w:rPr>
          <w:rFonts w:ascii="Book Antiqua" w:hAnsi="Book Antiqua"/>
          <w:sz w:val="24"/>
          <w:szCs w:val="24"/>
        </w:rPr>
        <w:t>expeditious</w:t>
      </w:r>
      <w:proofErr w:type="gramEnd"/>
      <w:r w:rsidRPr="00DA35FA">
        <w:rPr>
          <w:rFonts w:ascii="Book Antiqua" w:hAnsi="Book Antiqua"/>
          <w:sz w:val="24"/>
          <w:szCs w:val="24"/>
        </w:rPr>
        <w:t xml:space="preserve"> hearing and determination of appeals from domestic (Australian) arbitration processes (to the extent permitted under the statutory or other bases of the arbitration process).</w:t>
      </w:r>
    </w:p>
    <w:p w14:paraId="57A443FF" w14:textId="24A42749" w:rsidR="006F60CF" w:rsidRPr="00DA35FA" w:rsidRDefault="00DA35FA" w:rsidP="00645B63">
      <w:pPr>
        <w:pStyle w:val="ListParagraph"/>
        <w:numPr>
          <w:ilvl w:val="1"/>
          <w:numId w:val="24"/>
        </w:numPr>
        <w:spacing w:before="120" w:after="120"/>
        <w:ind w:left="720" w:hanging="720"/>
        <w:jc w:val="both"/>
        <w:rPr>
          <w:rFonts w:ascii="Book Antiqua" w:hAnsi="Book Antiqua"/>
          <w:sz w:val="24"/>
          <w:szCs w:val="24"/>
        </w:rPr>
      </w:pPr>
      <w:r w:rsidRPr="00DA35FA">
        <w:rPr>
          <w:rFonts w:ascii="Book Antiqua" w:hAnsi="Book Antiqua"/>
          <w:sz w:val="24"/>
          <w:szCs w:val="24"/>
        </w:rPr>
        <w:t xml:space="preserve">Court assistance and support is provided for all arbitration proceedings, international or domestic (Australian), and whether conducted under the </w:t>
      </w:r>
      <w:r w:rsidRPr="00DA35FA">
        <w:rPr>
          <w:rFonts w:ascii="Book Antiqua" w:hAnsi="Book Antiqua"/>
          <w:i/>
          <w:sz w:val="24"/>
          <w:szCs w:val="24"/>
        </w:rPr>
        <w:t xml:space="preserve">International Arbitration Act </w:t>
      </w:r>
      <w:r w:rsidRPr="00DA35FA">
        <w:rPr>
          <w:rFonts w:ascii="Book Antiqua" w:hAnsi="Book Antiqua"/>
          <w:sz w:val="24"/>
          <w:szCs w:val="24"/>
        </w:rPr>
        <w:t xml:space="preserve">1974 (Cth) or the </w:t>
      </w:r>
      <w:r w:rsidRPr="00DA35FA">
        <w:rPr>
          <w:rFonts w:ascii="Book Antiqua" w:hAnsi="Book Antiqua"/>
          <w:i/>
          <w:sz w:val="24"/>
          <w:szCs w:val="24"/>
        </w:rPr>
        <w:t xml:space="preserve">Commercial Arbitration Act </w:t>
      </w:r>
      <w:r w:rsidRPr="00DA35FA">
        <w:rPr>
          <w:rFonts w:ascii="Book Antiqua" w:hAnsi="Book Antiqua"/>
          <w:sz w:val="24"/>
          <w:szCs w:val="24"/>
        </w:rPr>
        <w:t xml:space="preserve">2011 (Vic).  Enforcement or other proceedings with respect to arbitration conducted under these statutory provisions or under legislation in other jurisdictions (international and other Australian jurisdictions) are also available in the Court, subject to the provisions of the </w:t>
      </w:r>
      <w:r w:rsidRPr="00DA35FA">
        <w:rPr>
          <w:rFonts w:ascii="Book Antiqua" w:hAnsi="Book Antiqua"/>
          <w:i/>
          <w:sz w:val="24"/>
          <w:szCs w:val="24"/>
        </w:rPr>
        <w:t xml:space="preserve">International Arbitration Act </w:t>
      </w:r>
      <w:r w:rsidRPr="00DA35FA">
        <w:rPr>
          <w:rFonts w:ascii="Book Antiqua" w:hAnsi="Book Antiqua"/>
          <w:sz w:val="24"/>
          <w:szCs w:val="24"/>
        </w:rPr>
        <w:t xml:space="preserve">1974 or the </w:t>
      </w:r>
      <w:r w:rsidRPr="00DA35FA">
        <w:rPr>
          <w:rFonts w:ascii="Book Antiqua" w:hAnsi="Book Antiqua"/>
          <w:i/>
          <w:sz w:val="24"/>
          <w:szCs w:val="24"/>
        </w:rPr>
        <w:t xml:space="preserve">Commercial Arbitration Act </w:t>
      </w:r>
      <w:r w:rsidRPr="00DA35FA">
        <w:rPr>
          <w:rFonts w:ascii="Book Antiqua" w:hAnsi="Book Antiqua"/>
          <w:sz w:val="24"/>
          <w:szCs w:val="24"/>
        </w:rPr>
        <w:t>2011, to the extent applicable.  All applications under the provisions of these Acts are provided for under the</w:t>
      </w:r>
      <w:r w:rsidR="002E4ACD">
        <w:rPr>
          <w:rFonts w:ascii="Book Antiqua" w:hAnsi="Book Antiqua"/>
          <w:sz w:val="24"/>
          <w:szCs w:val="24"/>
        </w:rPr>
        <w:t xml:space="preserve"> Arbitration Rules. </w:t>
      </w:r>
      <w:r w:rsidRPr="00DA35FA">
        <w:rPr>
          <w:rFonts w:ascii="Book Antiqua" w:hAnsi="Book Antiqua"/>
          <w:sz w:val="24"/>
          <w:szCs w:val="24"/>
        </w:rPr>
        <w:t xml:space="preserve"> </w:t>
      </w:r>
    </w:p>
    <w:p w14:paraId="438307D0" w14:textId="77777777" w:rsidR="00582DAF" w:rsidRPr="00DA35FA" w:rsidRDefault="00582DAF" w:rsidP="00CD0331">
      <w:pPr>
        <w:spacing w:before="120" w:after="120"/>
        <w:ind w:left="720" w:hanging="720"/>
        <w:jc w:val="both"/>
        <w:rPr>
          <w:rFonts w:ascii="Book Antiqua" w:hAnsi="Book Antiqua"/>
          <w:b/>
        </w:rPr>
      </w:pPr>
    </w:p>
    <w:p w14:paraId="35E2AA22" w14:textId="63BA668B" w:rsidR="00BB44DE" w:rsidRPr="00FB1AFD" w:rsidRDefault="00DA35FA" w:rsidP="00CD0331">
      <w:pPr>
        <w:pStyle w:val="Heading1"/>
        <w:spacing w:before="120" w:after="120"/>
        <w:rPr>
          <w:rFonts w:ascii="Book Antiqua" w:hAnsi="Book Antiqua"/>
          <w:szCs w:val="24"/>
        </w:rPr>
      </w:pPr>
      <w:r w:rsidRPr="00FB1AFD">
        <w:rPr>
          <w:rFonts w:ascii="Book Antiqua" w:hAnsi="Book Antiqua"/>
          <w:szCs w:val="24"/>
        </w:rPr>
        <w:t xml:space="preserve">INTERNATIONAL ARBITRATION </w:t>
      </w:r>
    </w:p>
    <w:p w14:paraId="130C4D12" w14:textId="38EE9B7C" w:rsidR="00DC24A7" w:rsidRPr="00FB1AFD" w:rsidRDefault="007D0580" w:rsidP="00645B63">
      <w:pPr>
        <w:pStyle w:val="ListParagraph"/>
        <w:numPr>
          <w:ilvl w:val="1"/>
          <w:numId w:val="24"/>
        </w:numPr>
        <w:spacing w:before="120" w:after="120"/>
        <w:ind w:left="720" w:hanging="720"/>
        <w:jc w:val="both"/>
        <w:rPr>
          <w:rFonts w:ascii="Book Antiqua" w:hAnsi="Book Antiqua"/>
          <w:sz w:val="24"/>
          <w:szCs w:val="24"/>
        </w:rPr>
      </w:pPr>
      <w:r w:rsidRPr="00FB1AFD">
        <w:rPr>
          <w:rFonts w:ascii="Book Antiqua" w:hAnsi="Book Antiqua"/>
          <w:sz w:val="24"/>
          <w:szCs w:val="24"/>
        </w:rPr>
        <w:t xml:space="preserve">The </w:t>
      </w:r>
      <w:r w:rsidRPr="00FB1AFD">
        <w:rPr>
          <w:rFonts w:ascii="Book Antiqua" w:hAnsi="Book Antiqua"/>
          <w:i/>
          <w:sz w:val="24"/>
          <w:szCs w:val="24"/>
        </w:rPr>
        <w:t xml:space="preserve">International Arbitration Act </w:t>
      </w:r>
      <w:r w:rsidRPr="00FB1AFD">
        <w:rPr>
          <w:rFonts w:ascii="Book Antiqua" w:hAnsi="Book Antiqua"/>
          <w:sz w:val="24"/>
          <w:szCs w:val="24"/>
        </w:rPr>
        <w:t xml:space="preserve">1974 (s 18) confers jurisdiction on the Court to provide assistance and support with respect to the matters specified in Article 6 of the </w:t>
      </w:r>
      <w:r w:rsidR="00063883">
        <w:rPr>
          <w:rFonts w:ascii="Book Antiqua" w:hAnsi="Book Antiqua"/>
          <w:sz w:val="24"/>
          <w:szCs w:val="24"/>
        </w:rPr>
        <w:t xml:space="preserve">UNCITRAL </w:t>
      </w:r>
      <w:r w:rsidR="00771FAE" w:rsidRPr="00D52D31">
        <w:rPr>
          <w:rFonts w:ascii="Book Antiqua" w:hAnsi="Book Antiqua"/>
          <w:i/>
          <w:sz w:val="24"/>
          <w:szCs w:val="24"/>
        </w:rPr>
        <w:t>Model Law</w:t>
      </w:r>
      <w:r w:rsidR="00771FAE">
        <w:rPr>
          <w:rFonts w:ascii="Book Antiqua" w:hAnsi="Book Antiqua"/>
          <w:sz w:val="24"/>
          <w:szCs w:val="24"/>
        </w:rPr>
        <w:t xml:space="preserve"> </w:t>
      </w:r>
      <w:r w:rsidRPr="00FB1AFD">
        <w:rPr>
          <w:rFonts w:ascii="Book Antiqua" w:hAnsi="Book Antiqua"/>
          <w:sz w:val="24"/>
          <w:szCs w:val="24"/>
        </w:rPr>
        <w:t>–</w:t>
      </w:r>
    </w:p>
    <w:p w14:paraId="7B316DA1" w14:textId="6DCF0AF4" w:rsidR="007D0580" w:rsidRPr="00FB1AFD" w:rsidRDefault="007D0580" w:rsidP="00645B63">
      <w:pPr>
        <w:pStyle w:val="ListParagraph"/>
        <w:numPr>
          <w:ilvl w:val="0"/>
          <w:numId w:val="27"/>
        </w:numPr>
        <w:spacing w:before="120" w:after="120"/>
        <w:ind w:left="1440" w:hanging="720"/>
        <w:jc w:val="both"/>
        <w:rPr>
          <w:rFonts w:ascii="Book Antiqua" w:hAnsi="Book Antiqua"/>
          <w:sz w:val="24"/>
          <w:szCs w:val="24"/>
        </w:rPr>
      </w:pPr>
      <w:r w:rsidRPr="00FB1AFD">
        <w:rPr>
          <w:rFonts w:ascii="Book Antiqua" w:hAnsi="Book Antiqua"/>
          <w:sz w:val="24"/>
          <w:szCs w:val="24"/>
        </w:rPr>
        <w:t>appointment of a sole or presiding arbitrator failing agreement by the parties or co-arbitrators (Article 11(3));</w:t>
      </w:r>
    </w:p>
    <w:p w14:paraId="3247AE87" w14:textId="080A0A8B" w:rsidR="007D0580" w:rsidRPr="00FB1AFD" w:rsidRDefault="007D0580" w:rsidP="00645B63">
      <w:pPr>
        <w:pStyle w:val="ListParagraph"/>
        <w:numPr>
          <w:ilvl w:val="0"/>
          <w:numId w:val="27"/>
        </w:numPr>
        <w:spacing w:before="120" w:after="120"/>
        <w:ind w:left="1440" w:hanging="720"/>
        <w:jc w:val="both"/>
        <w:rPr>
          <w:rFonts w:ascii="Book Antiqua" w:hAnsi="Book Antiqua"/>
          <w:sz w:val="24"/>
          <w:szCs w:val="24"/>
        </w:rPr>
      </w:pPr>
      <w:r w:rsidRPr="00FB1AFD">
        <w:rPr>
          <w:rFonts w:ascii="Book Antiqua" w:hAnsi="Book Antiqua"/>
          <w:sz w:val="24"/>
          <w:szCs w:val="24"/>
        </w:rPr>
        <w:t>appointment of an arbitrator or arbitrators where the appointment procedure agreed by the parties fails (Article 11(4));</w:t>
      </w:r>
    </w:p>
    <w:p w14:paraId="02FF4065" w14:textId="67CCC139" w:rsidR="007D0580" w:rsidRPr="00FB1AFD" w:rsidRDefault="007D0580" w:rsidP="00645B63">
      <w:pPr>
        <w:pStyle w:val="ListParagraph"/>
        <w:numPr>
          <w:ilvl w:val="0"/>
          <w:numId w:val="27"/>
        </w:numPr>
        <w:spacing w:before="120" w:after="120"/>
        <w:ind w:left="1440" w:hanging="720"/>
        <w:jc w:val="both"/>
        <w:rPr>
          <w:rFonts w:ascii="Book Antiqua" w:hAnsi="Book Antiqua"/>
          <w:sz w:val="24"/>
          <w:szCs w:val="24"/>
        </w:rPr>
      </w:pPr>
      <w:r w:rsidRPr="00FB1AFD">
        <w:rPr>
          <w:rFonts w:ascii="Book Antiqua" w:hAnsi="Book Antiqua"/>
          <w:sz w:val="24"/>
          <w:szCs w:val="24"/>
        </w:rPr>
        <w:t>deciding on challenges to an arbitrator or arbitrators (Article 13(3));</w:t>
      </w:r>
    </w:p>
    <w:p w14:paraId="155623E2" w14:textId="530C43C7" w:rsidR="007D0580" w:rsidRPr="007D0580" w:rsidRDefault="007D0580" w:rsidP="00645B63">
      <w:pPr>
        <w:pStyle w:val="ListParagraph"/>
        <w:numPr>
          <w:ilvl w:val="0"/>
          <w:numId w:val="27"/>
        </w:numPr>
        <w:spacing w:before="120" w:after="120"/>
        <w:ind w:left="1440" w:hanging="720"/>
        <w:jc w:val="both"/>
        <w:rPr>
          <w:rFonts w:ascii="Book Antiqua" w:hAnsi="Book Antiqua"/>
          <w:sz w:val="24"/>
          <w:szCs w:val="24"/>
        </w:rPr>
      </w:pPr>
      <w:r w:rsidRPr="007D0580">
        <w:rPr>
          <w:rFonts w:ascii="Book Antiqua" w:hAnsi="Book Antiqua"/>
          <w:sz w:val="24"/>
          <w:szCs w:val="24"/>
        </w:rPr>
        <w:t>termination of the mandate of an arbitrator as a result of a failure or impossibility to act (Article 14);</w:t>
      </w:r>
    </w:p>
    <w:p w14:paraId="24AB49A1" w14:textId="6C221596" w:rsidR="007D0580" w:rsidRPr="00FB1AFD" w:rsidRDefault="007D0580" w:rsidP="00645B63">
      <w:pPr>
        <w:pStyle w:val="ListParagraph"/>
        <w:numPr>
          <w:ilvl w:val="0"/>
          <w:numId w:val="27"/>
        </w:numPr>
        <w:spacing w:before="120" w:after="120"/>
        <w:ind w:left="1440" w:hanging="720"/>
        <w:jc w:val="both"/>
        <w:rPr>
          <w:rFonts w:ascii="Book Antiqua" w:hAnsi="Book Antiqua"/>
          <w:sz w:val="24"/>
          <w:szCs w:val="24"/>
        </w:rPr>
      </w:pPr>
      <w:r w:rsidRPr="00FB1AFD">
        <w:rPr>
          <w:rFonts w:ascii="Book Antiqua" w:hAnsi="Book Antiqua"/>
          <w:sz w:val="24"/>
          <w:szCs w:val="24"/>
        </w:rPr>
        <w:t>determining whether the arbitral tribunal has jurisdiction (Article 16); and</w:t>
      </w:r>
    </w:p>
    <w:p w14:paraId="5A347CA1" w14:textId="595F4D2F" w:rsidR="007D0580" w:rsidRDefault="007D0580" w:rsidP="00645B63">
      <w:pPr>
        <w:pStyle w:val="ListParagraph"/>
        <w:numPr>
          <w:ilvl w:val="0"/>
          <w:numId w:val="27"/>
        </w:numPr>
        <w:spacing w:before="120" w:after="120"/>
        <w:ind w:left="1440" w:hanging="720"/>
        <w:jc w:val="both"/>
        <w:rPr>
          <w:rFonts w:ascii="Book Antiqua" w:hAnsi="Book Antiqua"/>
          <w:sz w:val="24"/>
          <w:szCs w:val="24"/>
        </w:rPr>
      </w:pPr>
      <w:proofErr w:type="gramStart"/>
      <w:r w:rsidRPr="00FB1AFD">
        <w:rPr>
          <w:rFonts w:ascii="Book Antiqua" w:hAnsi="Book Antiqua"/>
          <w:sz w:val="24"/>
          <w:szCs w:val="24"/>
        </w:rPr>
        <w:t>setting</w:t>
      </w:r>
      <w:proofErr w:type="gramEnd"/>
      <w:r w:rsidRPr="00FB1AFD">
        <w:rPr>
          <w:rFonts w:ascii="Book Antiqua" w:hAnsi="Book Antiqua"/>
          <w:sz w:val="24"/>
          <w:szCs w:val="24"/>
        </w:rPr>
        <w:t xml:space="preserve"> aside arbitral awards on the limited grounds specified in Article 34.</w:t>
      </w:r>
    </w:p>
    <w:p w14:paraId="53D41966" w14:textId="77777777" w:rsidR="00FB1AFD" w:rsidRPr="00FB1AFD" w:rsidRDefault="00FB1AFD" w:rsidP="00FB1AFD">
      <w:pPr>
        <w:pStyle w:val="ListParagraph"/>
        <w:spacing w:before="120" w:after="120"/>
        <w:jc w:val="both"/>
        <w:rPr>
          <w:rFonts w:ascii="Book Antiqua" w:hAnsi="Book Antiqua"/>
          <w:sz w:val="24"/>
          <w:szCs w:val="24"/>
        </w:rPr>
      </w:pPr>
    </w:p>
    <w:p w14:paraId="4E750AF0" w14:textId="508DFB7F" w:rsidR="007D0580" w:rsidRPr="00FB1AFD" w:rsidRDefault="00FB1AFD" w:rsidP="00645B63">
      <w:pPr>
        <w:pStyle w:val="ListParagraph"/>
        <w:numPr>
          <w:ilvl w:val="1"/>
          <w:numId w:val="24"/>
        </w:numPr>
        <w:spacing w:before="120" w:after="120"/>
        <w:ind w:left="720" w:hanging="720"/>
        <w:jc w:val="both"/>
        <w:rPr>
          <w:rFonts w:ascii="Book Antiqua" w:hAnsi="Book Antiqua"/>
          <w:sz w:val="24"/>
          <w:szCs w:val="24"/>
        </w:rPr>
      </w:pPr>
      <w:r w:rsidRPr="00FB1AFD">
        <w:rPr>
          <w:rFonts w:ascii="Book Antiqua" w:hAnsi="Book Antiqua"/>
          <w:sz w:val="24"/>
          <w:szCs w:val="24"/>
        </w:rPr>
        <w:t xml:space="preserve">In addition to providing assistance and support under Article 6 of the </w:t>
      </w:r>
      <w:r w:rsidRPr="00FB1AFD">
        <w:rPr>
          <w:rFonts w:ascii="Book Antiqua" w:hAnsi="Book Antiqua"/>
          <w:i/>
          <w:sz w:val="24"/>
          <w:szCs w:val="24"/>
        </w:rPr>
        <w:t>Model Law</w:t>
      </w:r>
      <w:r w:rsidRPr="00FB1AFD">
        <w:rPr>
          <w:rFonts w:ascii="Book Antiqua" w:hAnsi="Book Antiqua"/>
          <w:sz w:val="24"/>
          <w:szCs w:val="24"/>
        </w:rPr>
        <w:t xml:space="preserve">, the </w:t>
      </w:r>
      <w:r w:rsidRPr="00FB1AFD">
        <w:rPr>
          <w:rFonts w:ascii="Book Antiqua" w:hAnsi="Book Antiqua"/>
          <w:i/>
          <w:sz w:val="24"/>
          <w:szCs w:val="24"/>
        </w:rPr>
        <w:t xml:space="preserve">International Arbitration Act </w:t>
      </w:r>
      <w:r w:rsidRPr="00FB1AFD">
        <w:rPr>
          <w:rFonts w:ascii="Book Antiqua" w:hAnsi="Book Antiqua"/>
          <w:sz w:val="24"/>
          <w:szCs w:val="24"/>
        </w:rPr>
        <w:t>1974 confers jurisdiction on the Court to –</w:t>
      </w:r>
    </w:p>
    <w:p w14:paraId="684F8320" w14:textId="77777777" w:rsidR="00FB1AFD" w:rsidRPr="00FB1AFD" w:rsidRDefault="00FB1AFD" w:rsidP="00645B63">
      <w:pPr>
        <w:pStyle w:val="ListParagraph"/>
        <w:numPr>
          <w:ilvl w:val="0"/>
          <w:numId w:val="28"/>
        </w:numPr>
        <w:spacing w:before="120" w:after="120"/>
        <w:ind w:left="1440" w:hanging="720"/>
        <w:jc w:val="both"/>
        <w:rPr>
          <w:rFonts w:ascii="Book Antiqua" w:hAnsi="Book Antiqua"/>
          <w:sz w:val="24"/>
          <w:szCs w:val="24"/>
        </w:rPr>
      </w:pPr>
      <w:r w:rsidRPr="00FB1AFD">
        <w:rPr>
          <w:rFonts w:ascii="Book Antiqua" w:hAnsi="Book Antiqua"/>
          <w:sz w:val="24"/>
          <w:szCs w:val="24"/>
        </w:rPr>
        <w:t>enforce foreign arbitral agreements by staying a proceeding or part of a proceeding that is before the Court which invites the determination of a matter capable of settlement by arbitration which is subject to such an agreement (section 7(2));</w:t>
      </w:r>
    </w:p>
    <w:p w14:paraId="4D6640BC" w14:textId="216515A0" w:rsidR="00FB1AFD" w:rsidRPr="00FB1AFD" w:rsidRDefault="00FB1AFD" w:rsidP="00645B63">
      <w:pPr>
        <w:pStyle w:val="ListParagraph"/>
        <w:numPr>
          <w:ilvl w:val="0"/>
          <w:numId w:val="28"/>
        </w:numPr>
        <w:spacing w:before="120" w:after="120"/>
        <w:ind w:left="1440" w:hanging="720"/>
        <w:jc w:val="both"/>
        <w:rPr>
          <w:rFonts w:ascii="Book Antiqua" w:hAnsi="Book Antiqua"/>
          <w:sz w:val="24"/>
          <w:szCs w:val="24"/>
        </w:rPr>
      </w:pPr>
      <w:r w:rsidRPr="00FB1AFD">
        <w:rPr>
          <w:rFonts w:ascii="Book Antiqua" w:hAnsi="Book Antiqua"/>
          <w:sz w:val="24"/>
          <w:szCs w:val="24"/>
        </w:rPr>
        <w:t>make interim or supplementary orders for the preservation of the rights of the parties or in relation to any property for the purpose of providing effective enforcement of arbitration agreements (section 7(3));</w:t>
      </w:r>
    </w:p>
    <w:p w14:paraId="66CE4B87" w14:textId="344328BC" w:rsidR="00FB1AFD" w:rsidRPr="00FB1AFD" w:rsidRDefault="00FB1AFD" w:rsidP="00645B63">
      <w:pPr>
        <w:pStyle w:val="ListParagraph"/>
        <w:numPr>
          <w:ilvl w:val="0"/>
          <w:numId w:val="28"/>
        </w:numPr>
        <w:spacing w:before="120" w:after="120"/>
        <w:ind w:left="1440" w:hanging="720"/>
        <w:jc w:val="both"/>
        <w:rPr>
          <w:rFonts w:ascii="Book Antiqua" w:hAnsi="Book Antiqua"/>
          <w:sz w:val="24"/>
          <w:szCs w:val="24"/>
        </w:rPr>
      </w:pPr>
      <w:r w:rsidRPr="00FB1AFD">
        <w:rPr>
          <w:rFonts w:ascii="Book Antiqua" w:hAnsi="Book Antiqua"/>
          <w:sz w:val="24"/>
          <w:szCs w:val="24"/>
        </w:rPr>
        <w:lastRenderedPageBreak/>
        <w:t>enforce foreign arbitral awards to which the New York Convention</w:t>
      </w:r>
      <w:r w:rsidR="0095412A">
        <w:rPr>
          <w:rFonts w:ascii="Book Antiqua" w:hAnsi="Book Antiqua"/>
          <w:sz w:val="24"/>
          <w:szCs w:val="24"/>
        </w:rPr>
        <w:t xml:space="preserve"> </w:t>
      </w:r>
      <w:r w:rsidRPr="00FB1AFD">
        <w:rPr>
          <w:rFonts w:ascii="Book Antiqua" w:hAnsi="Book Antiqua"/>
          <w:sz w:val="24"/>
          <w:szCs w:val="24"/>
        </w:rPr>
        <w:t>applies (section 8);</w:t>
      </w:r>
    </w:p>
    <w:p w14:paraId="13347514" w14:textId="100BBCC8" w:rsidR="00FB1AFD" w:rsidRPr="00FB1AFD" w:rsidRDefault="00FB1AFD" w:rsidP="00645B63">
      <w:pPr>
        <w:pStyle w:val="ListParagraph"/>
        <w:numPr>
          <w:ilvl w:val="0"/>
          <w:numId w:val="28"/>
        </w:numPr>
        <w:spacing w:before="120" w:after="120"/>
        <w:ind w:left="1440" w:hanging="720"/>
        <w:jc w:val="both"/>
        <w:rPr>
          <w:rFonts w:ascii="Book Antiqua" w:hAnsi="Book Antiqua"/>
          <w:sz w:val="24"/>
          <w:szCs w:val="24"/>
        </w:rPr>
      </w:pPr>
      <w:r w:rsidRPr="00FB1AFD">
        <w:rPr>
          <w:rFonts w:ascii="Book Antiqua" w:hAnsi="Book Antiqua"/>
          <w:sz w:val="24"/>
          <w:szCs w:val="24"/>
        </w:rPr>
        <w:t>recognition and enforcement of interim measures of protection (</w:t>
      </w:r>
      <w:r w:rsidRPr="00B84991">
        <w:rPr>
          <w:rFonts w:ascii="Book Antiqua" w:hAnsi="Book Antiqua"/>
          <w:i/>
          <w:sz w:val="24"/>
          <w:szCs w:val="24"/>
        </w:rPr>
        <w:t>Model Law</w:t>
      </w:r>
      <w:r w:rsidRPr="00FB1AFD">
        <w:rPr>
          <w:rFonts w:ascii="Book Antiqua" w:hAnsi="Book Antiqua"/>
          <w:sz w:val="24"/>
          <w:szCs w:val="24"/>
        </w:rPr>
        <w:t>, Articles 17H, 17I and 17J);</w:t>
      </w:r>
    </w:p>
    <w:p w14:paraId="5E7C3D7B" w14:textId="2EC8AED4" w:rsidR="00FB1AFD" w:rsidRPr="00FB1AFD" w:rsidRDefault="00FB1AFD" w:rsidP="00645B63">
      <w:pPr>
        <w:pStyle w:val="ListParagraph"/>
        <w:numPr>
          <w:ilvl w:val="0"/>
          <w:numId w:val="28"/>
        </w:numPr>
        <w:spacing w:before="120" w:after="120"/>
        <w:ind w:left="1440" w:hanging="720"/>
        <w:jc w:val="both"/>
        <w:rPr>
          <w:rFonts w:ascii="Book Antiqua" w:hAnsi="Book Antiqua"/>
          <w:sz w:val="24"/>
          <w:szCs w:val="24"/>
        </w:rPr>
      </w:pPr>
      <w:r w:rsidRPr="00FB1AFD">
        <w:rPr>
          <w:rFonts w:ascii="Book Antiqua" w:hAnsi="Book Antiqua"/>
          <w:sz w:val="24"/>
          <w:szCs w:val="24"/>
        </w:rPr>
        <w:t>issuing subpoenas for the attendance of a person before the arbitral tribunal for examination or further production of documents or for assistance to the arbitral tribunal in the taking of evidence (sections 23 and 23A);  and</w:t>
      </w:r>
    </w:p>
    <w:p w14:paraId="3E4B42D4" w14:textId="05958320" w:rsidR="00FB1AFD" w:rsidRDefault="00FB1AFD" w:rsidP="00645B63">
      <w:pPr>
        <w:pStyle w:val="ListParagraph"/>
        <w:numPr>
          <w:ilvl w:val="0"/>
          <w:numId w:val="28"/>
        </w:numPr>
        <w:spacing w:before="120" w:after="120"/>
        <w:ind w:left="1440" w:hanging="720"/>
        <w:jc w:val="both"/>
        <w:rPr>
          <w:rFonts w:ascii="Book Antiqua" w:hAnsi="Book Antiqua"/>
          <w:sz w:val="24"/>
          <w:szCs w:val="24"/>
        </w:rPr>
      </w:pPr>
      <w:proofErr w:type="gramStart"/>
      <w:r w:rsidRPr="00FB1AFD">
        <w:rPr>
          <w:rFonts w:ascii="Book Antiqua" w:hAnsi="Book Antiqua"/>
          <w:sz w:val="24"/>
          <w:szCs w:val="24"/>
        </w:rPr>
        <w:t>prohibiting</w:t>
      </w:r>
      <w:proofErr w:type="gramEnd"/>
      <w:r w:rsidRPr="00FB1AFD">
        <w:rPr>
          <w:rFonts w:ascii="Book Antiqua" w:hAnsi="Book Antiqua"/>
          <w:sz w:val="24"/>
          <w:szCs w:val="24"/>
        </w:rPr>
        <w:t xml:space="preserve"> or allowing the disclosure of confidential information (sections 23F and 23G).</w:t>
      </w:r>
    </w:p>
    <w:p w14:paraId="4943D429" w14:textId="77777777" w:rsidR="00FB1AFD" w:rsidRPr="00FB1AFD" w:rsidRDefault="00FB1AFD" w:rsidP="00FB1AFD">
      <w:pPr>
        <w:pStyle w:val="ListParagraph"/>
        <w:spacing w:before="120" w:after="120"/>
        <w:jc w:val="both"/>
        <w:rPr>
          <w:rFonts w:ascii="Book Antiqua" w:hAnsi="Book Antiqua"/>
          <w:sz w:val="24"/>
          <w:szCs w:val="24"/>
        </w:rPr>
      </w:pPr>
    </w:p>
    <w:p w14:paraId="52A3826A" w14:textId="2B21C308" w:rsidR="007D0580" w:rsidRDefault="00FB1AFD" w:rsidP="00645B63">
      <w:pPr>
        <w:pStyle w:val="ListParagraph"/>
        <w:numPr>
          <w:ilvl w:val="1"/>
          <w:numId w:val="24"/>
        </w:numPr>
        <w:spacing w:before="120" w:after="120"/>
        <w:ind w:left="720" w:hanging="720"/>
        <w:jc w:val="both"/>
        <w:rPr>
          <w:rFonts w:ascii="Book Antiqua" w:hAnsi="Book Antiqua"/>
          <w:sz w:val="24"/>
          <w:szCs w:val="24"/>
        </w:rPr>
      </w:pPr>
      <w:r w:rsidRPr="00FB1AFD">
        <w:rPr>
          <w:rFonts w:ascii="Book Antiqua" w:hAnsi="Book Antiqua"/>
          <w:sz w:val="24"/>
          <w:szCs w:val="24"/>
        </w:rPr>
        <w:t xml:space="preserve">It is noted that the jurisdiction of the Court to provide interim measures of protection (e.g. interlocutory injunctive relief for the preservation of assets or evidence, </w:t>
      </w:r>
      <w:proofErr w:type="spellStart"/>
      <w:r w:rsidRPr="00FB1AFD">
        <w:rPr>
          <w:rFonts w:ascii="Book Antiqua" w:hAnsi="Book Antiqua"/>
          <w:i/>
          <w:sz w:val="24"/>
          <w:szCs w:val="24"/>
        </w:rPr>
        <w:t>Mareva</w:t>
      </w:r>
      <w:proofErr w:type="spellEnd"/>
      <w:r w:rsidRPr="00FB1AFD">
        <w:rPr>
          <w:rFonts w:ascii="Book Antiqua" w:hAnsi="Book Antiqua"/>
          <w:sz w:val="24"/>
          <w:szCs w:val="24"/>
        </w:rPr>
        <w:t xml:space="preserve"> injunctions, search orders and the like) in parallel with the arbitration process is recognised in Article 9 of the </w:t>
      </w:r>
      <w:r w:rsidRPr="00FB1AFD">
        <w:rPr>
          <w:rFonts w:ascii="Book Antiqua" w:hAnsi="Book Antiqua"/>
          <w:i/>
          <w:sz w:val="24"/>
          <w:szCs w:val="24"/>
        </w:rPr>
        <w:t>Model Law</w:t>
      </w:r>
      <w:r w:rsidRPr="00FB1AFD">
        <w:rPr>
          <w:rFonts w:ascii="Book Antiqua" w:hAnsi="Book Antiqua"/>
          <w:sz w:val="24"/>
          <w:szCs w:val="24"/>
        </w:rPr>
        <w:t>.</w:t>
      </w:r>
    </w:p>
    <w:p w14:paraId="269ECF65" w14:textId="77777777" w:rsidR="00D91E13" w:rsidRPr="00FB1AFD" w:rsidRDefault="00D91E13" w:rsidP="00D91E13">
      <w:pPr>
        <w:pStyle w:val="ListParagraph"/>
        <w:spacing w:before="120" w:after="120"/>
        <w:ind w:left="360"/>
        <w:jc w:val="both"/>
        <w:rPr>
          <w:rFonts w:ascii="Book Antiqua" w:hAnsi="Book Antiqua"/>
          <w:sz w:val="24"/>
          <w:szCs w:val="24"/>
        </w:rPr>
      </w:pPr>
    </w:p>
    <w:p w14:paraId="498D4D11" w14:textId="3561F238" w:rsidR="00D91E13" w:rsidRDefault="00D91E13" w:rsidP="00D91E13">
      <w:pPr>
        <w:pStyle w:val="Heading1"/>
        <w:spacing w:before="120" w:after="120"/>
        <w:rPr>
          <w:rFonts w:ascii="Book Antiqua" w:hAnsi="Book Antiqua"/>
        </w:rPr>
      </w:pPr>
      <w:r>
        <w:rPr>
          <w:rFonts w:ascii="Book Antiqua" w:hAnsi="Book Antiqua"/>
        </w:rPr>
        <w:t xml:space="preserve">DOMESTIC (AUSTRALIAN) ARBITRATION </w:t>
      </w:r>
    </w:p>
    <w:p w14:paraId="09962916" w14:textId="6F496E14" w:rsidR="00D91E13" w:rsidRPr="001206DE" w:rsidRDefault="001206DE" w:rsidP="00645B63">
      <w:pPr>
        <w:pStyle w:val="ListParagraph"/>
        <w:numPr>
          <w:ilvl w:val="1"/>
          <w:numId w:val="24"/>
        </w:numPr>
        <w:spacing w:before="120" w:after="120"/>
        <w:ind w:left="720" w:hanging="720"/>
        <w:jc w:val="both"/>
        <w:rPr>
          <w:rFonts w:ascii="Book Antiqua" w:hAnsi="Book Antiqua"/>
          <w:sz w:val="24"/>
          <w:szCs w:val="24"/>
        </w:rPr>
      </w:pPr>
      <w:r w:rsidRPr="001206DE">
        <w:rPr>
          <w:rFonts w:ascii="Book Antiqua" w:hAnsi="Book Antiqua"/>
          <w:sz w:val="24"/>
          <w:szCs w:val="24"/>
        </w:rPr>
        <w:t xml:space="preserve">Domestic (Australian) arbitration is currently subject to the operation of the substantially uniform commercial arbitration acts of the various States and Territories.  The Victorian legislation is contained in the </w:t>
      </w:r>
      <w:r w:rsidRPr="00CC3845">
        <w:rPr>
          <w:rFonts w:ascii="Book Antiqua" w:hAnsi="Book Antiqua"/>
          <w:i/>
          <w:sz w:val="24"/>
          <w:szCs w:val="24"/>
        </w:rPr>
        <w:t xml:space="preserve">Commercial Arbitration Act </w:t>
      </w:r>
      <w:r w:rsidRPr="00571DB7">
        <w:rPr>
          <w:rFonts w:ascii="Book Antiqua" w:hAnsi="Book Antiqua"/>
          <w:sz w:val="24"/>
          <w:szCs w:val="24"/>
        </w:rPr>
        <w:t>2011</w:t>
      </w:r>
      <w:r w:rsidRPr="001206DE">
        <w:rPr>
          <w:rFonts w:ascii="Book Antiqua" w:hAnsi="Book Antiqua"/>
          <w:sz w:val="24"/>
          <w:szCs w:val="24"/>
        </w:rPr>
        <w:t>.</w:t>
      </w:r>
    </w:p>
    <w:p w14:paraId="17AD8FE0" w14:textId="77777777" w:rsidR="001206DE" w:rsidRPr="001206DE" w:rsidRDefault="001206DE" w:rsidP="00645B63">
      <w:pPr>
        <w:pStyle w:val="ListParagraph"/>
        <w:numPr>
          <w:ilvl w:val="1"/>
          <w:numId w:val="24"/>
        </w:numPr>
        <w:spacing w:before="120" w:after="120"/>
        <w:ind w:left="720" w:hanging="720"/>
        <w:jc w:val="both"/>
        <w:rPr>
          <w:rFonts w:ascii="Book Antiqua" w:hAnsi="Book Antiqua"/>
          <w:sz w:val="24"/>
          <w:szCs w:val="24"/>
        </w:rPr>
      </w:pPr>
      <w:r w:rsidRPr="001206DE">
        <w:rPr>
          <w:rFonts w:ascii="Book Antiqua" w:hAnsi="Book Antiqua"/>
          <w:sz w:val="24"/>
          <w:szCs w:val="24"/>
        </w:rPr>
        <w:t xml:space="preserve">The </w:t>
      </w:r>
      <w:r w:rsidRPr="0026259E">
        <w:rPr>
          <w:rFonts w:ascii="Book Antiqua" w:hAnsi="Book Antiqua"/>
          <w:i/>
          <w:sz w:val="24"/>
          <w:szCs w:val="24"/>
        </w:rPr>
        <w:t>Commercial Arbitration Act</w:t>
      </w:r>
      <w:r w:rsidRPr="00CC3845">
        <w:rPr>
          <w:rFonts w:ascii="Book Antiqua" w:hAnsi="Book Antiqua"/>
          <w:i/>
          <w:sz w:val="24"/>
          <w:szCs w:val="24"/>
        </w:rPr>
        <w:t xml:space="preserve"> </w:t>
      </w:r>
      <w:r w:rsidRPr="00571DB7">
        <w:rPr>
          <w:rFonts w:ascii="Book Antiqua" w:hAnsi="Book Antiqua"/>
          <w:sz w:val="24"/>
          <w:szCs w:val="24"/>
        </w:rPr>
        <w:t>2011</w:t>
      </w:r>
      <w:r w:rsidRPr="001206DE">
        <w:rPr>
          <w:rFonts w:ascii="Book Antiqua" w:hAnsi="Book Antiqua"/>
          <w:sz w:val="24"/>
          <w:szCs w:val="24"/>
        </w:rPr>
        <w:t xml:space="preserve"> confers jurisdiction on the Court to provide assistance and support for the arbitration process in a variety of matters and circumstances, including –</w:t>
      </w:r>
    </w:p>
    <w:p w14:paraId="3A6D6C65" w14:textId="571DDE4C"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reference to arbitration (section 8);</w:t>
      </w:r>
    </w:p>
    <w:p w14:paraId="12E43FCD" w14:textId="021D882B"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appointment of a sole or presiding arbitrator failing agreement by the parties or co-arbitrators (section 11(3));</w:t>
      </w:r>
    </w:p>
    <w:p w14:paraId="59705E88" w14:textId="574FBD95"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appointment of an arbitrator or arbitrators where the appointment procedure agreed by the parties fails (section 11(4));</w:t>
      </w:r>
    </w:p>
    <w:p w14:paraId="46E7770D" w14:textId="1ACA2D4B"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deciding on challenges to an arbitrator or arbitrators (section 13(4));</w:t>
      </w:r>
    </w:p>
    <w:p w14:paraId="38CEF9ED" w14:textId="19C8963A"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termination of the mandate of an arbitrator as a result of a failure or impossibility to act (section 14);</w:t>
      </w:r>
    </w:p>
    <w:p w14:paraId="7756C885" w14:textId="4C94B4E3"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determining whether the arbitral tribunal has jurisdiction (section 16(a));</w:t>
      </w:r>
    </w:p>
    <w:p w14:paraId="575784D6" w14:textId="23843BFE"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recognition and enforcement of interim measures (sections 17H and 17I);</w:t>
      </w:r>
    </w:p>
    <w:p w14:paraId="538FDC95" w14:textId="635886E8" w:rsidR="001206DE" w:rsidRPr="001206DE" w:rsidRDefault="00F27D7F" w:rsidP="00645B63">
      <w:pPr>
        <w:pStyle w:val="ListParagraph"/>
        <w:numPr>
          <w:ilvl w:val="0"/>
          <w:numId w:val="30"/>
        </w:numPr>
        <w:spacing w:before="120" w:after="120"/>
        <w:ind w:left="1440" w:hanging="720"/>
        <w:jc w:val="both"/>
        <w:rPr>
          <w:rFonts w:ascii="Book Antiqua" w:hAnsi="Book Antiqua"/>
          <w:sz w:val="24"/>
          <w:szCs w:val="24"/>
        </w:rPr>
      </w:pPr>
      <w:r>
        <w:rPr>
          <w:rFonts w:ascii="Book Antiqua" w:hAnsi="Book Antiqua"/>
          <w:sz w:val="24"/>
          <w:szCs w:val="24"/>
        </w:rPr>
        <w:t>C</w:t>
      </w:r>
      <w:r w:rsidR="001206DE" w:rsidRPr="001206DE">
        <w:rPr>
          <w:rFonts w:ascii="Book Antiqua" w:hAnsi="Book Antiqua"/>
          <w:sz w:val="24"/>
          <w:szCs w:val="24"/>
        </w:rPr>
        <w:t>ourt ordered interim measures (section 17J);</w:t>
      </w:r>
    </w:p>
    <w:p w14:paraId="510E2DF9" w14:textId="4FF64901"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enforcement of an order or directions of an arbitral tribunal (section 19(6));</w:t>
      </w:r>
    </w:p>
    <w:p w14:paraId="28068E3D" w14:textId="69EB20DE" w:rsidR="001206DE" w:rsidRPr="001206DE" w:rsidRDefault="00F27D7F" w:rsidP="00645B63">
      <w:pPr>
        <w:pStyle w:val="ListParagraph"/>
        <w:numPr>
          <w:ilvl w:val="0"/>
          <w:numId w:val="30"/>
        </w:numPr>
        <w:spacing w:before="120" w:after="120"/>
        <w:ind w:left="1440" w:hanging="720"/>
        <w:jc w:val="both"/>
        <w:rPr>
          <w:rFonts w:ascii="Book Antiqua" w:hAnsi="Book Antiqua"/>
          <w:sz w:val="24"/>
          <w:szCs w:val="24"/>
        </w:rPr>
      </w:pPr>
      <w:r>
        <w:rPr>
          <w:rFonts w:ascii="Book Antiqua" w:hAnsi="Book Antiqua"/>
          <w:sz w:val="24"/>
          <w:szCs w:val="24"/>
        </w:rPr>
        <w:t>C</w:t>
      </w:r>
      <w:r w:rsidR="001206DE" w:rsidRPr="001206DE">
        <w:rPr>
          <w:rFonts w:ascii="Book Antiqua" w:hAnsi="Book Antiqua"/>
          <w:sz w:val="24"/>
          <w:szCs w:val="24"/>
        </w:rPr>
        <w:t>ourt assistance in the taking of evidence in arbitral proceedings (section 27);</w:t>
      </w:r>
    </w:p>
    <w:p w14:paraId="1E8B7967" w14:textId="6D97DA4F" w:rsidR="001206DE" w:rsidRPr="001206DE" w:rsidRDefault="00F27D7F" w:rsidP="00645B63">
      <w:pPr>
        <w:pStyle w:val="ListParagraph"/>
        <w:numPr>
          <w:ilvl w:val="0"/>
          <w:numId w:val="30"/>
        </w:numPr>
        <w:spacing w:before="120" w:after="120"/>
        <w:ind w:left="1440" w:hanging="720"/>
        <w:jc w:val="both"/>
        <w:rPr>
          <w:rFonts w:ascii="Book Antiqua" w:hAnsi="Book Antiqua"/>
          <w:sz w:val="24"/>
          <w:szCs w:val="24"/>
        </w:rPr>
      </w:pPr>
      <w:r>
        <w:rPr>
          <w:rFonts w:ascii="Book Antiqua" w:hAnsi="Book Antiqua"/>
          <w:sz w:val="24"/>
          <w:szCs w:val="24"/>
        </w:rPr>
        <w:t>C</w:t>
      </w:r>
      <w:r w:rsidR="001206DE" w:rsidRPr="001206DE">
        <w:rPr>
          <w:rFonts w:ascii="Book Antiqua" w:hAnsi="Book Antiqua"/>
          <w:sz w:val="24"/>
          <w:szCs w:val="24"/>
        </w:rPr>
        <w:t>ourt assistance in issuing subpoenas requiring a person to attend before the arbitral tribunal for examination or for production of documents to the arbitral tribunal (sections 27A and 27B);</w:t>
      </w:r>
    </w:p>
    <w:p w14:paraId="67BD2395" w14:textId="0CA42CE7"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prohibition of the disclosure of confidential information (section 27H);</w:t>
      </w:r>
    </w:p>
    <w:p w14:paraId="5E0AE9B0" w14:textId="642FA4FD"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allowing the disclosure of confidential information (section 27I);</w:t>
      </w:r>
    </w:p>
    <w:p w14:paraId="63B3E79E" w14:textId="0109E97D"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determination of a preliminary point of law (section 27J);</w:t>
      </w:r>
    </w:p>
    <w:p w14:paraId="07C97AB5" w14:textId="06AF940B"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lastRenderedPageBreak/>
        <w:t>assessment of costs of an arbitration (other than the fees and expenses of an arbitrator) (section 33B);</w:t>
      </w:r>
    </w:p>
    <w:p w14:paraId="57753138" w14:textId="38F578FE"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orders in relation to the costs of an abortive arbitration (section 33D);</w:t>
      </w:r>
    </w:p>
    <w:p w14:paraId="45EE056A" w14:textId="5922B090"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application for setting aside as exclusive recourse against arbitral award (</w:t>
      </w:r>
      <w:proofErr w:type="spellStart"/>
      <w:r w:rsidRPr="001206DE">
        <w:rPr>
          <w:rFonts w:ascii="Book Antiqua" w:hAnsi="Book Antiqua"/>
          <w:sz w:val="24"/>
          <w:szCs w:val="24"/>
        </w:rPr>
        <w:t>cf</w:t>
      </w:r>
      <w:proofErr w:type="spellEnd"/>
      <w:r w:rsidRPr="001206DE">
        <w:rPr>
          <w:rFonts w:ascii="Book Antiqua" w:hAnsi="Book Antiqua"/>
          <w:sz w:val="24"/>
          <w:szCs w:val="24"/>
        </w:rPr>
        <w:t xml:space="preserve"> </w:t>
      </w:r>
      <w:r w:rsidRPr="004969A2">
        <w:rPr>
          <w:rFonts w:ascii="Book Antiqua" w:hAnsi="Book Antiqua"/>
          <w:i/>
          <w:sz w:val="24"/>
          <w:szCs w:val="24"/>
        </w:rPr>
        <w:t>Model Law</w:t>
      </w:r>
      <w:r w:rsidRPr="001206DE">
        <w:rPr>
          <w:rFonts w:ascii="Book Antiqua" w:hAnsi="Book Antiqua"/>
          <w:sz w:val="24"/>
          <w:szCs w:val="24"/>
        </w:rPr>
        <w:t>, Article 34) (section 34);</w:t>
      </w:r>
    </w:p>
    <w:p w14:paraId="575285B4" w14:textId="6E3864F8" w:rsidR="001206DE" w:rsidRPr="001206DE" w:rsidRDefault="001206DE" w:rsidP="00645B63">
      <w:pPr>
        <w:pStyle w:val="ListParagraph"/>
        <w:numPr>
          <w:ilvl w:val="0"/>
          <w:numId w:val="30"/>
        </w:numPr>
        <w:spacing w:before="120" w:after="120"/>
        <w:ind w:left="1440" w:hanging="720"/>
        <w:jc w:val="both"/>
        <w:rPr>
          <w:rFonts w:ascii="Book Antiqua" w:hAnsi="Book Antiqua"/>
          <w:sz w:val="24"/>
          <w:szCs w:val="24"/>
        </w:rPr>
      </w:pPr>
      <w:r w:rsidRPr="001206DE">
        <w:rPr>
          <w:rFonts w:ascii="Book Antiqua" w:hAnsi="Book Antiqua"/>
          <w:sz w:val="24"/>
          <w:szCs w:val="24"/>
        </w:rPr>
        <w:t>appeal on a question of law (with party agreement and leav</w:t>
      </w:r>
      <w:r w:rsidR="00DA0D5E">
        <w:rPr>
          <w:rFonts w:ascii="Book Antiqua" w:hAnsi="Book Antiqua"/>
          <w:sz w:val="24"/>
          <w:szCs w:val="24"/>
        </w:rPr>
        <w:t xml:space="preserve">e of the Court) (section 34A); </w:t>
      </w:r>
      <w:r w:rsidRPr="001206DE">
        <w:rPr>
          <w:rFonts w:ascii="Book Antiqua" w:hAnsi="Book Antiqua"/>
          <w:sz w:val="24"/>
          <w:szCs w:val="24"/>
        </w:rPr>
        <w:t>and</w:t>
      </w:r>
    </w:p>
    <w:p w14:paraId="13E02E33" w14:textId="6415966E" w:rsidR="001206DE" w:rsidRPr="000B50C9" w:rsidRDefault="001206DE" w:rsidP="00645B63">
      <w:pPr>
        <w:pStyle w:val="ListParagraph"/>
        <w:numPr>
          <w:ilvl w:val="0"/>
          <w:numId w:val="30"/>
        </w:numPr>
        <w:spacing w:before="120" w:after="120"/>
        <w:ind w:left="1440" w:hanging="720"/>
        <w:jc w:val="both"/>
        <w:rPr>
          <w:rFonts w:ascii="Book Antiqua" w:hAnsi="Book Antiqua"/>
          <w:sz w:val="24"/>
          <w:szCs w:val="24"/>
        </w:rPr>
      </w:pPr>
      <w:proofErr w:type="gramStart"/>
      <w:r w:rsidRPr="000B50C9">
        <w:rPr>
          <w:rFonts w:ascii="Book Antiqua" w:hAnsi="Book Antiqua"/>
          <w:sz w:val="24"/>
          <w:szCs w:val="24"/>
        </w:rPr>
        <w:t>recognition</w:t>
      </w:r>
      <w:proofErr w:type="gramEnd"/>
      <w:r w:rsidRPr="000B50C9">
        <w:rPr>
          <w:rFonts w:ascii="Book Antiqua" w:hAnsi="Book Antiqua"/>
          <w:sz w:val="24"/>
          <w:szCs w:val="24"/>
        </w:rPr>
        <w:t xml:space="preserve"> and enforcement of arbitral awards (sections 35 and 36).</w:t>
      </w:r>
    </w:p>
    <w:p w14:paraId="49C2C377" w14:textId="4F620EA4" w:rsidR="00D91E13" w:rsidRPr="000B50C9" w:rsidRDefault="000B50C9" w:rsidP="00645B63">
      <w:pPr>
        <w:pStyle w:val="ListParagraph"/>
        <w:numPr>
          <w:ilvl w:val="1"/>
          <w:numId w:val="24"/>
        </w:numPr>
        <w:spacing w:before="120" w:after="120"/>
        <w:ind w:left="720" w:hanging="720"/>
        <w:jc w:val="both"/>
        <w:rPr>
          <w:rFonts w:ascii="Book Antiqua" w:hAnsi="Book Antiqua"/>
        </w:rPr>
      </w:pPr>
      <w:r w:rsidRPr="000B50C9">
        <w:rPr>
          <w:rFonts w:ascii="Book Antiqua" w:hAnsi="Book Antiqua"/>
          <w:sz w:val="24"/>
          <w:szCs w:val="24"/>
        </w:rPr>
        <w:t>Maintenance of arbitr</w:t>
      </w:r>
      <w:r w:rsidR="00F27D7F">
        <w:rPr>
          <w:rFonts w:ascii="Book Antiqua" w:hAnsi="Book Antiqua"/>
          <w:sz w:val="24"/>
          <w:szCs w:val="24"/>
        </w:rPr>
        <w:t>ation proceedings, rather than C</w:t>
      </w:r>
      <w:r w:rsidRPr="000B50C9">
        <w:rPr>
          <w:rFonts w:ascii="Book Antiqua" w:hAnsi="Book Antiqua"/>
          <w:sz w:val="24"/>
          <w:szCs w:val="24"/>
        </w:rPr>
        <w:t xml:space="preserve">ourt proceedings, with respect to matters the subject of an arbitration agreement and </w:t>
      </w:r>
      <w:r w:rsidR="00F27D7F">
        <w:rPr>
          <w:rFonts w:ascii="Book Antiqua" w:hAnsi="Book Antiqua"/>
          <w:sz w:val="24"/>
          <w:szCs w:val="24"/>
        </w:rPr>
        <w:t>C</w:t>
      </w:r>
      <w:r w:rsidRPr="000B50C9">
        <w:rPr>
          <w:rFonts w:ascii="Book Antiqua" w:hAnsi="Book Antiqua"/>
          <w:sz w:val="24"/>
          <w:szCs w:val="24"/>
        </w:rPr>
        <w:t xml:space="preserve">ourt assistance and support for the arbitration process in the form of interim measures of protection are expressly provided for in sections 8 and 9 of the </w:t>
      </w:r>
      <w:r w:rsidRPr="000B50C9">
        <w:rPr>
          <w:rFonts w:ascii="Book Antiqua" w:hAnsi="Book Antiqua"/>
          <w:i/>
          <w:sz w:val="24"/>
          <w:szCs w:val="24"/>
        </w:rPr>
        <w:t xml:space="preserve">Commercial Arbitration Act </w:t>
      </w:r>
      <w:r w:rsidRPr="000B50C9">
        <w:rPr>
          <w:rFonts w:ascii="Book Antiqua" w:hAnsi="Book Antiqua"/>
          <w:sz w:val="24"/>
          <w:szCs w:val="24"/>
        </w:rPr>
        <w:t>2011, as follows:</w:t>
      </w:r>
    </w:p>
    <w:p w14:paraId="4FD17EF3" w14:textId="77777777" w:rsidR="00D91E13" w:rsidRDefault="00D91E13" w:rsidP="00D91E13"/>
    <w:p w14:paraId="36AE18E3" w14:textId="715FDFDF" w:rsidR="00DC72B0" w:rsidRPr="00034559" w:rsidRDefault="00DC72B0" w:rsidP="00DC72B0">
      <w:pPr>
        <w:tabs>
          <w:tab w:val="left" w:pos="709"/>
        </w:tabs>
        <w:ind w:left="1276" w:right="456" w:hanging="556"/>
        <w:jc w:val="both"/>
        <w:rPr>
          <w:b/>
          <w:bCs/>
        </w:rPr>
      </w:pPr>
      <w:r w:rsidRPr="00034559">
        <w:rPr>
          <w:b/>
          <w:bCs/>
        </w:rPr>
        <w:t>8.</w:t>
      </w:r>
      <w:r w:rsidRPr="00034559">
        <w:rPr>
          <w:b/>
          <w:bCs/>
        </w:rPr>
        <w:tab/>
        <w:t>Arbitration agreemen</w:t>
      </w:r>
      <w:r w:rsidR="00F27D7F">
        <w:rPr>
          <w:b/>
          <w:bCs/>
        </w:rPr>
        <w:t>t and substantive claim before C</w:t>
      </w:r>
      <w:r w:rsidRPr="00034559">
        <w:rPr>
          <w:b/>
          <w:bCs/>
        </w:rPr>
        <w:t xml:space="preserve">ourt </w:t>
      </w:r>
      <w:r w:rsidRPr="00034559">
        <w:rPr>
          <w:bCs/>
        </w:rPr>
        <w:t>(</w:t>
      </w:r>
      <w:proofErr w:type="spellStart"/>
      <w:r w:rsidRPr="00034559">
        <w:rPr>
          <w:bCs/>
        </w:rPr>
        <w:t>cf</w:t>
      </w:r>
      <w:proofErr w:type="spellEnd"/>
      <w:r w:rsidRPr="00034559">
        <w:rPr>
          <w:bCs/>
        </w:rPr>
        <w:t> </w:t>
      </w:r>
      <w:r w:rsidRPr="00D34DC0">
        <w:rPr>
          <w:bCs/>
          <w:i/>
        </w:rPr>
        <w:t>Model Law</w:t>
      </w:r>
      <w:r w:rsidRPr="00034559">
        <w:rPr>
          <w:bCs/>
        </w:rPr>
        <w:t xml:space="preserve"> Art</w:t>
      </w:r>
      <w:r w:rsidR="00D34DC0">
        <w:rPr>
          <w:bCs/>
        </w:rPr>
        <w:t>.</w:t>
      </w:r>
      <w:r w:rsidRPr="00034559">
        <w:rPr>
          <w:bCs/>
        </w:rPr>
        <w:t xml:space="preserve"> 8) </w:t>
      </w:r>
    </w:p>
    <w:p w14:paraId="4FFD9A59" w14:textId="77777777" w:rsidR="00DC72B0" w:rsidRPr="00034559" w:rsidRDefault="00DC72B0" w:rsidP="00DC72B0">
      <w:pPr>
        <w:spacing w:before="100" w:beforeAutospacing="1" w:after="100" w:afterAutospacing="1"/>
        <w:ind w:left="1701" w:right="456" w:hanging="425"/>
        <w:jc w:val="both"/>
      </w:pPr>
      <w:r w:rsidRPr="00034559">
        <w:t xml:space="preserve">(1)   A court before which an action is brought in a matter which is the subject of an </w:t>
      </w:r>
      <w:hyperlink r:id="rId14" w:anchor="arbitration_agreement" w:history="1">
        <w:r w:rsidRPr="00034559">
          <w:t>arbitration agreement</w:t>
        </w:r>
      </w:hyperlink>
      <w:r w:rsidRPr="00034559">
        <w:t xml:space="preserve"> must, if a </w:t>
      </w:r>
      <w:hyperlink r:id="rId15" w:anchor="party" w:history="1">
        <w:r w:rsidRPr="00034559">
          <w:t>party</w:t>
        </w:r>
      </w:hyperlink>
      <w:r w:rsidRPr="00034559">
        <w:t xml:space="preserve"> so requests not later than when submitting the </w:t>
      </w:r>
      <w:hyperlink r:id="rId16" w:anchor="party" w:history="1">
        <w:r w:rsidRPr="00034559">
          <w:t>party</w:t>
        </w:r>
      </w:hyperlink>
      <w:r w:rsidRPr="00034559">
        <w:t xml:space="preserve">’s first statement on the substance of the dispute, refer the parties to </w:t>
      </w:r>
      <w:hyperlink r:id="rId17" w:anchor="arbitration" w:history="1">
        <w:r w:rsidRPr="00034559">
          <w:t>arbitration</w:t>
        </w:r>
      </w:hyperlink>
      <w:r w:rsidRPr="00034559">
        <w:t xml:space="preserve"> unless it finds that the agreement is null and void, inoperative or incapable of being performed.</w:t>
      </w:r>
    </w:p>
    <w:p w14:paraId="4F173906" w14:textId="77777777" w:rsidR="00DC72B0" w:rsidRPr="00034559" w:rsidRDefault="00DC72B0" w:rsidP="00DC72B0">
      <w:pPr>
        <w:spacing w:before="100" w:beforeAutospacing="1" w:after="100" w:afterAutospacing="1"/>
        <w:ind w:left="1701" w:right="456" w:hanging="425"/>
        <w:jc w:val="both"/>
      </w:pPr>
      <w:r w:rsidRPr="00034559">
        <w:t xml:space="preserve">(2) Where an action referred to in subsection (1) has been brought, arbitral proceedings may nevertheless be commenced or continued, and an award may be made, while the issue is pending before </w:t>
      </w:r>
      <w:hyperlink r:id="rId18" w:anchor="the_court" w:history="1">
        <w:r w:rsidRPr="00034559">
          <w:t>the court</w:t>
        </w:r>
      </w:hyperlink>
      <w:r w:rsidRPr="00034559">
        <w:t>.</w:t>
      </w:r>
    </w:p>
    <w:p w14:paraId="48F37C36" w14:textId="080F2113" w:rsidR="00DC72B0" w:rsidRPr="00034559" w:rsidRDefault="00DC72B0" w:rsidP="00DC72B0">
      <w:pPr>
        <w:ind w:left="1276" w:right="456" w:hanging="567"/>
        <w:jc w:val="both"/>
      </w:pPr>
      <w:r w:rsidRPr="00034559">
        <w:rPr>
          <w:b/>
          <w:bCs/>
        </w:rPr>
        <w:t>9.</w:t>
      </w:r>
      <w:r w:rsidRPr="00034559">
        <w:rPr>
          <w:b/>
          <w:bCs/>
        </w:rPr>
        <w:tab/>
        <w:t>Arbitration agr</w:t>
      </w:r>
      <w:r w:rsidR="00F27D7F">
        <w:rPr>
          <w:b/>
          <w:bCs/>
        </w:rPr>
        <w:t>eement and interim measures by C</w:t>
      </w:r>
      <w:r w:rsidRPr="00034559">
        <w:rPr>
          <w:b/>
          <w:bCs/>
        </w:rPr>
        <w:t xml:space="preserve">ourt </w:t>
      </w:r>
      <w:r w:rsidRPr="00034559">
        <w:rPr>
          <w:bCs/>
        </w:rPr>
        <w:t>(</w:t>
      </w:r>
      <w:proofErr w:type="spellStart"/>
      <w:r w:rsidRPr="00034559">
        <w:rPr>
          <w:bCs/>
        </w:rPr>
        <w:t>cf</w:t>
      </w:r>
      <w:proofErr w:type="spellEnd"/>
      <w:r w:rsidRPr="00034559">
        <w:rPr>
          <w:bCs/>
        </w:rPr>
        <w:t xml:space="preserve"> </w:t>
      </w:r>
      <w:r w:rsidRPr="00BA18BF">
        <w:rPr>
          <w:bCs/>
          <w:i/>
        </w:rPr>
        <w:t>Model Law</w:t>
      </w:r>
      <w:r w:rsidRPr="00034559">
        <w:rPr>
          <w:bCs/>
        </w:rPr>
        <w:t xml:space="preserve"> Art</w:t>
      </w:r>
      <w:r w:rsidR="00BA18BF">
        <w:rPr>
          <w:bCs/>
        </w:rPr>
        <w:t>.</w:t>
      </w:r>
      <w:r w:rsidRPr="00034559">
        <w:rPr>
          <w:bCs/>
        </w:rPr>
        <w:t xml:space="preserve"> 9)</w:t>
      </w:r>
    </w:p>
    <w:p w14:paraId="3FF10613" w14:textId="77777777" w:rsidR="00DC72B0" w:rsidRPr="00034559" w:rsidRDefault="00DC72B0" w:rsidP="00DC72B0">
      <w:pPr>
        <w:spacing w:before="100" w:beforeAutospacing="1" w:after="240"/>
        <w:ind w:left="1701" w:right="456"/>
        <w:jc w:val="both"/>
      </w:pPr>
      <w:r w:rsidRPr="00034559">
        <w:t xml:space="preserve">It is not incompatible with an </w:t>
      </w:r>
      <w:hyperlink r:id="rId19" w:anchor="arbitration_agreement" w:history="1">
        <w:r w:rsidRPr="00034559">
          <w:t>arbitration agreement</w:t>
        </w:r>
      </w:hyperlink>
      <w:r w:rsidRPr="00034559">
        <w:t xml:space="preserve"> for a </w:t>
      </w:r>
      <w:hyperlink r:id="rId20" w:anchor="party" w:history="1">
        <w:r w:rsidRPr="00034559">
          <w:t>party</w:t>
        </w:r>
      </w:hyperlink>
      <w:r w:rsidRPr="00034559">
        <w:t xml:space="preserve"> to request, before or during arbitral proceedings, from a court an </w:t>
      </w:r>
      <w:hyperlink r:id="rId21" w:anchor="interim_measure" w:history="1">
        <w:r w:rsidRPr="00034559">
          <w:t>interim measure</w:t>
        </w:r>
      </w:hyperlink>
      <w:r w:rsidRPr="00034559">
        <w:t xml:space="preserve"> of protection and for a court to grant the measure.</w:t>
      </w:r>
    </w:p>
    <w:p w14:paraId="0A0E9491" w14:textId="77777777" w:rsidR="00DC72B0" w:rsidRDefault="00DC72B0" w:rsidP="00DC72B0">
      <w:pPr>
        <w:pStyle w:val="Heading1"/>
        <w:numPr>
          <w:ilvl w:val="0"/>
          <w:numId w:val="0"/>
        </w:numPr>
        <w:spacing w:before="120" w:after="120"/>
        <w:ind w:left="720"/>
        <w:rPr>
          <w:rFonts w:ascii="Book Antiqua" w:hAnsi="Book Antiqua"/>
        </w:rPr>
      </w:pPr>
    </w:p>
    <w:p w14:paraId="0AB1EF97" w14:textId="62178029" w:rsidR="00DC72B0" w:rsidRPr="00DC72B0" w:rsidRDefault="00DC72B0" w:rsidP="00DC72B0">
      <w:pPr>
        <w:pStyle w:val="Heading1"/>
        <w:spacing w:before="120" w:after="120"/>
        <w:rPr>
          <w:rFonts w:ascii="Book Antiqua" w:hAnsi="Book Antiqua"/>
        </w:rPr>
      </w:pPr>
      <w:r w:rsidRPr="00DC72B0">
        <w:rPr>
          <w:rFonts w:ascii="Book Antiqua" w:hAnsi="Book Antiqua"/>
        </w:rPr>
        <w:t>PROCEDURAL MATTERS</w:t>
      </w:r>
    </w:p>
    <w:p w14:paraId="4A7A6EF2" w14:textId="7463BE68" w:rsidR="00DC72B0" w:rsidRDefault="00DC21CE" w:rsidP="00645B63">
      <w:pPr>
        <w:pStyle w:val="ListParagraph"/>
        <w:numPr>
          <w:ilvl w:val="1"/>
          <w:numId w:val="24"/>
        </w:numPr>
        <w:spacing w:before="120" w:after="120"/>
        <w:ind w:left="720" w:hanging="720"/>
        <w:jc w:val="both"/>
        <w:rPr>
          <w:rFonts w:ascii="Book Antiqua" w:hAnsi="Book Antiqua"/>
          <w:sz w:val="24"/>
          <w:szCs w:val="24"/>
        </w:rPr>
      </w:pPr>
      <w:r w:rsidRPr="00DC21CE">
        <w:rPr>
          <w:rFonts w:ascii="Book Antiqua" w:hAnsi="Book Antiqua"/>
          <w:sz w:val="24"/>
          <w:szCs w:val="24"/>
        </w:rPr>
        <w:t xml:space="preserve">All applications under the </w:t>
      </w:r>
      <w:r w:rsidRPr="004969A2">
        <w:rPr>
          <w:rFonts w:ascii="Book Antiqua" w:hAnsi="Book Antiqua"/>
          <w:i/>
          <w:sz w:val="24"/>
          <w:szCs w:val="24"/>
        </w:rPr>
        <w:t>International Arbitration Act</w:t>
      </w:r>
      <w:r w:rsidRPr="00DC21CE">
        <w:rPr>
          <w:rFonts w:ascii="Book Antiqua" w:hAnsi="Book Antiqua"/>
          <w:sz w:val="24"/>
          <w:szCs w:val="24"/>
        </w:rPr>
        <w:t xml:space="preserve"> 1974 must be commenced in accordance with the Arbitration Rules and in the prescribed form of application.  In determining whether an arbitration is international, reference should be made to the provisions of the </w:t>
      </w:r>
      <w:r w:rsidRPr="00CC3845">
        <w:rPr>
          <w:rFonts w:ascii="Book Antiqua" w:hAnsi="Book Antiqua"/>
          <w:i/>
          <w:sz w:val="24"/>
          <w:szCs w:val="24"/>
        </w:rPr>
        <w:t xml:space="preserve">International Arbitration Act </w:t>
      </w:r>
      <w:r w:rsidRPr="004969A2">
        <w:rPr>
          <w:rFonts w:ascii="Book Antiqua" w:hAnsi="Book Antiqua"/>
          <w:sz w:val="24"/>
          <w:szCs w:val="24"/>
        </w:rPr>
        <w:t>1974</w:t>
      </w:r>
      <w:r w:rsidRPr="00DC21CE">
        <w:rPr>
          <w:rFonts w:ascii="Book Antiqua" w:hAnsi="Book Antiqua"/>
          <w:sz w:val="24"/>
          <w:szCs w:val="24"/>
        </w:rPr>
        <w:t xml:space="preserve"> and also to the UNCITRAL Model Law (the provisions of which are applied by the </w:t>
      </w:r>
      <w:r w:rsidRPr="004969A2">
        <w:rPr>
          <w:rFonts w:ascii="Book Antiqua" w:hAnsi="Book Antiqua"/>
          <w:i/>
          <w:sz w:val="24"/>
          <w:szCs w:val="24"/>
        </w:rPr>
        <w:t>International Arbitration Act</w:t>
      </w:r>
      <w:r w:rsidRPr="00DC21CE">
        <w:rPr>
          <w:rFonts w:ascii="Book Antiqua" w:hAnsi="Book Antiqua"/>
          <w:sz w:val="24"/>
          <w:szCs w:val="24"/>
        </w:rPr>
        <w:t xml:space="preserve"> 1974) – particularly, Article 1 of the </w:t>
      </w:r>
      <w:r w:rsidRPr="004969A2">
        <w:rPr>
          <w:rFonts w:ascii="Book Antiqua" w:hAnsi="Book Antiqua"/>
          <w:i/>
          <w:sz w:val="24"/>
          <w:szCs w:val="24"/>
        </w:rPr>
        <w:t>Model Law</w:t>
      </w:r>
      <w:r w:rsidRPr="00DC21CE">
        <w:rPr>
          <w:rFonts w:ascii="Book Antiqua" w:hAnsi="Book Antiqua"/>
          <w:sz w:val="24"/>
          <w:szCs w:val="24"/>
        </w:rPr>
        <w:t xml:space="preserve">.  Applications under the </w:t>
      </w:r>
      <w:r w:rsidRPr="00CF5761">
        <w:rPr>
          <w:rFonts w:ascii="Book Antiqua" w:hAnsi="Book Antiqua"/>
          <w:i/>
          <w:sz w:val="24"/>
          <w:szCs w:val="24"/>
        </w:rPr>
        <w:t xml:space="preserve">Commercial Arbitration </w:t>
      </w:r>
      <w:r w:rsidRPr="00156D5D">
        <w:rPr>
          <w:rFonts w:ascii="Book Antiqua" w:hAnsi="Book Antiqua"/>
          <w:i/>
          <w:sz w:val="24"/>
          <w:szCs w:val="24"/>
        </w:rPr>
        <w:t xml:space="preserve">Act </w:t>
      </w:r>
      <w:r w:rsidRPr="004969A2">
        <w:rPr>
          <w:rFonts w:ascii="Book Antiqua" w:hAnsi="Book Antiqua"/>
          <w:sz w:val="24"/>
          <w:szCs w:val="24"/>
        </w:rPr>
        <w:t>2011</w:t>
      </w:r>
      <w:r w:rsidRPr="00DC21CE">
        <w:rPr>
          <w:rFonts w:ascii="Book Antiqua" w:hAnsi="Book Antiqua"/>
          <w:sz w:val="24"/>
          <w:szCs w:val="24"/>
        </w:rPr>
        <w:t xml:space="preserve"> must also be commenced in accordance with the Arbitration Rules and in the prescribed form of application.  Some of the more significant provisions of the Arbitration Rules are as follows </w:t>
      </w:r>
      <w:r w:rsidR="002775FE">
        <w:rPr>
          <w:rFonts w:ascii="Book Antiqua" w:hAnsi="Book Antiqua"/>
          <w:sz w:val="24"/>
          <w:szCs w:val="24"/>
        </w:rPr>
        <w:t>–</w:t>
      </w:r>
    </w:p>
    <w:p w14:paraId="4A0F9DED" w14:textId="77777777" w:rsidR="002775FE" w:rsidRDefault="002775FE" w:rsidP="002775FE">
      <w:pPr>
        <w:pStyle w:val="ListParagraph"/>
        <w:spacing w:before="120" w:after="120"/>
        <w:jc w:val="both"/>
        <w:rPr>
          <w:rFonts w:ascii="Book Antiqua" w:hAnsi="Book Antiqua"/>
          <w:sz w:val="24"/>
          <w:szCs w:val="24"/>
        </w:rPr>
      </w:pPr>
    </w:p>
    <w:p w14:paraId="3CB82695" w14:textId="44DFBF3A" w:rsidR="002775FE" w:rsidRPr="002775FE" w:rsidRDefault="002775FE" w:rsidP="00645B63">
      <w:pPr>
        <w:pStyle w:val="ListParagraph"/>
        <w:numPr>
          <w:ilvl w:val="0"/>
          <w:numId w:val="32"/>
        </w:numPr>
        <w:spacing w:before="120" w:after="120"/>
        <w:ind w:left="1440" w:hanging="720"/>
        <w:jc w:val="both"/>
        <w:rPr>
          <w:rFonts w:ascii="Book Antiqua" w:hAnsi="Book Antiqua"/>
          <w:sz w:val="24"/>
          <w:szCs w:val="24"/>
        </w:rPr>
      </w:pPr>
      <w:r w:rsidRPr="002775FE">
        <w:rPr>
          <w:rFonts w:ascii="Book Antiqua" w:hAnsi="Book Antiqua"/>
          <w:sz w:val="24"/>
          <w:szCs w:val="24"/>
        </w:rPr>
        <w:lastRenderedPageBreak/>
        <w:t xml:space="preserve">An application to enforce a foreign award pursuant to the </w:t>
      </w:r>
      <w:r w:rsidRPr="00156D5D">
        <w:rPr>
          <w:rFonts w:ascii="Book Antiqua" w:hAnsi="Book Antiqua"/>
          <w:i/>
          <w:sz w:val="24"/>
          <w:szCs w:val="24"/>
        </w:rPr>
        <w:t xml:space="preserve">International Arbitration Act </w:t>
      </w:r>
      <w:r w:rsidRPr="004969A2">
        <w:rPr>
          <w:rFonts w:ascii="Book Antiqua" w:hAnsi="Book Antiqua"/>
          <w:sz w:val="24"/>
          <w:szCs w:val="24"/>
        </w:rPr>
        <w:t>1974</w:t>
      </w:r>
      <w:r w:rsidRPr="002775FE">
        <w:rPr>
          <w:rFonts w:ascii="Book Antiqua" w:hAnsi="Book Antiqua"/>
          <w:sz w:val="24"/>
          <w:szCs w:val="24"/>
        </w:rPr>
        <w:t xml:space="preserve"> (section 8) must comply with the requirements of Rule 9.04 (Form 2-9B).  An application to enforce a domestic (Australian) award pursuant to the </w:t>
      </w:r>
      <w:r w:rsidRPr="004969A2">
        <w:rPr>
          <w:rFonts w:ascii="Book Antiqua" w:hAnsi="Book Antiqua"/>
          <w:i/>
          <w:sz w:val="24"/>
          <w:szCs w:val="24"/>
        </w:rPr>
        <w:t>Commercial Arbitration Act</w:t>
      </w:r>
      <w:r w:rsidRPr="002775FE">
        <w:rPr>
          <w:rFonts w:ascii="Book Antiqua" w:hAnsi="Book Antiqua"/>
          <w:sz w:val="24"/>
          <w:szCs w:val="24"/>
        </w:rPr>
        <w:t xml:space="preserve"> 2011 must comply with the requirements of Rule 9.21 (Form 2-9Y);</w:t>
      </w:r>
    </w:p>
    <w:p w14:paraId="7FACF033" w14:textId="132BDEF0" w:rsidR="002775FE" w:rsidRPr="002775FE" w:rsidRDefault="002775FE" w:rsidP="00645B63">
      <w:pPr>
        <w:pStyle w:val="ListParagraph"/>
        <w:numPr>
          <w:ilvl w:val="0"/>
          <w:numId w:val="32"/>
        </w:numPr>
        <w:spacing w:before="120" w:after="120"/>
        <w:ind w:left="1440" w:hanging="720"/>
        <w:jc w:val="both"/>
        <w:rPr>
          <w:rFonts w:ascii="Book Antiqua" w:hAnsi="Book Antiqua"/>
          <w:sz w:val="24"/>
          <w:szCs w:val="24"/>
        </w:rPr>
      </w:pPr>
      <w:r w:rsidRPr="002775FE">
        <w:rPr>
          <w:rFonts w:ascii="Book Antiqua" w:hAnsi="Book Antiqua"/>
          <w:sz w:val="24"/>
          <w:szCs w:val="24"/>
        </w:rPr>
        <w:t xml:space="preserve">An application to set aside a foreign award pursuant to Article VI of the New York Convention or Article 34 of the </w:t>
      </w:r>
      <w:r w:rsidRPr="00156D5D">
        <w:rPr>
          <w:rFonts w:ascii="Book Antiqua" w:hAnsi="Book Antiqua"/>
          <w:i/>
          <w:sz w:val="24"/>
          <w:szCs w:val="24"/>
        </w:rPr>
        <w:t>Model Law</w:t>
      </w:r>
      <w:r w:rsidRPr="002775FE">
        <w:rPr>
          <w:rFonts w:ascii="Book Antiqua" w:hAnsi="Book Antiqua"/>
          <w:sz w:val="24"/>
          <w:szCs w:val="24"/>
        </w:rPr>
        <w:t xml:space="preserve"> (see Part II and sections 16 and 20 of the </w:t>
      </w:r>
      <w:r w:rsidRPr="00156D5D">
        <w:rPr>
          <w:rFonts w:ascii="Book Antiqua" w:hAnsi="Book Antiqua"/>
          <w:i/>
          <w:sz w:val="24"/>
          <w:szCs w:val="24"/>
        </w:rPr>
        <w:t xml:space="preserve">International Arbitration Act </w:t>
      </w:r>
      <w:r w:rsidR="00E64D17">
        <w:rPr>
          <w:rFonts w:ascii="Book Antiqua" w:hAnsi="Book Antiqua"/>
          <w:sz w:val="24"/>
          <w:szCs w:val="24"/>
        </w:rPr>
        <w:t>197</w:t>
      </w:r>
      <w:bookmarkStart w:id="0" w:name="_GoBack"/>
      <w:bookmarkEnd w:id="0"/>
      <w:r w:rsidRPr="004969A2">
        <w:rPr>
          <w:rFonts w:ascii="Book Antiqua" w:hAnsi="Book Antiqua"/>
          <w:sz w:val="24"/>
          <w:szCs w:val="24"/>
        </w:rPr>
        <w:t>4</w:t>
      </w:r>
      <w:r w:rsidRPr="002775FE">
        <w:rPr>
          <w:rFonts w:ascii="Book Antiqua" w:hAnsi="Book Antiqua"/>
          <w:sz w:val="24"/>
          <w:szCs w:val="24"/>
        </w:rPr>
        <w:t xml:space="preserve">) must comply with the requirements of Rule 9.10 (Form 2-9K).  An application to set aside a domestic (Australian) award pursuant to section 34 of the </w:t>
      </w:r>
      <w:r w:rsidRPr="00156D5D">
        <w:rPr>
          <w:rFonts w:ascii="Book Antiqua" w:hAnsi="Book Antiqua"/>
          <w:i/>
          <w:sz w:val="24"/>
          <w:szCs w:val="24"/>
        </w:rPr>
        <w:t xml:space="preserve">Commercial Arbitration Act </w:t>
      </w:r>
      <w:r w:rsidRPr="004969A2">
        <w:rPr>
          <w:rFonts w:ascii="Book Antiqua" w:hAnsi="Book Antiqua"/>
          <w:sz w:val="24"/>
          <w:szCs w:val="24"/>
        </w:rPr>
        <w:t>2011</w:t>
      </w:r>
      <w:r w:rsidRPr="002775FE">
        <w:rPr>
          <w:rFonts w:ascii="Book Antiqua" w:hAnsi="Book Antiqua"/>
          <w:sz w:val="24"/>
          <w:szCs w:val="24"/>
        </w:rPr>
        <w:t xml:space="preserve"> must comply with the requirements of Rule 9.19 (Form 2-9W);</w:t>
      </w:r>
    </w:p>
    <w:p w14:paraId="2887DF12" w14:textId="188A1FA7" w:rsidR="002775FE" w:rsidRPr="002775FE" w:rsidRDefault="002775FE" w:rsidP="00645B63">
      <w:pPr>
        <w:pStyle w:val="ListParagraph"/>
        <w:numPr>
          <w:ilvl w:val="0"/>
          <w:numId w:val="32"/>
        </w:numPr>
        <w:spacing w:before="120" w:after="120"/>
        <w:ind w:left="1440" w:hanging="720"/>
        <w:jc w:val="both"/>
        <w:rPr>
          <w:rFonts w:ascii="Book Antiqua" w:hAnsi="Book Antiqua"/>
          <w:sz w:val="24"/>
          <w:szCs w:val="24"/>
        </w:rPr>
      </w:pPr>
      <w:r w:rsidRPr="002775FE">
        <w:rPr>
          <w:rFonts w:ascii="Book Antiqua" w:hAnsi="Book Antiqua"/>
          <w:sz w:val="24"/>
          <w:szCs w:val="24"/>
        </w:rPr>
        <w:t xml:space="preserve">An application under section 27J of the </w:t>
      </w:r>
      <w:r w:rsidRPr="00156D5D">
        <w:rPr>
          <w:rFonts w:ascii="Book Antiqua" w:hAnsi="Book Antiqua"/>
          <w:i/>
          <w:sz w:val="24"/>
          <w:szCs w:val="24"/>
        </w:rPr>
        <w:t xml:space="preserve">Commercial Arbitration Act </w:t>
      </w:r>
      <w:r w:rsidRPr="004969A2">
        <w:rPr>
          <w:rFonts w:ascii="Book Antiqua" w:hAnsi="Book Antiqua"/>
          <w:sz w:val="24"/>
          <w:szCs w:val="24"/>
        </w:rPr>
        <w:t>2011</w:t>
      </w:r>
      <w:r w:rsidRPr="002775FE">
        <w:rPr>
          <w:rFonts w:ascii="Book Antiqua" w:hAnsi="Book Antiqua"/>
          <w:sz w:val="24"/>
          <w:szCs w:val="24"/>
        </w:rPr>
        <w:t xml:space="preserve"> for leave to apply for determination of a question of law arising in the course of a domestic (Australian) arbitration must comply with the requirements of Rule 9.18 (Form 2-9V); and</w:t>
      </w:r>
    </w:p>
    <w:p w14:paraId="7F8589D4" w14:textId="195283D2" w:rsidR="002775FE" w:rsidRDefault="002775FE" w:rsidP="00645B63">
      <w:pPr>
        <w:pStyle w:val="ListParagraph"/>
        <w:numPr>
          <w:ilvl w:val="0"/>
          <w:numId w:val="32"/>
        </w:numPr>
        <w:spacing w:before="120" w:after="120"/>
        <w:ind w:left="1440" w:hanging="720"/>
        <w:jc w:val="both"/>
        <w:rPr>
          <w:rFonts w:ascii="Book Antiqua" w:hAnsi="Book Antiqua"/>
          <w:sz w:val="24"/>
          <w:szCs w:val="24"/>
        </w:rPr>
      </w:pPr>
      <w:r w:rsidRPr="002775FE">
        <w:rPr>
          <w:rFonts w:ascii="Book Antiqua" w:hAnsi="Book Antiqua"/>
          <w:sz w:val="24"/>
          <w:szCs w:val="24"/>
        </w:rPr>
        <w:t xml:space="preserve">An application for leave to appeal against a domestic (Australian) award under section 34A of the </w:t>
      </w:r>
      <w:r w:rsidRPr="00156D5D">
        <w:rPr>
          <w:rFonts w:ascii="Book Antiqua" w:hAnsi="Book Antiqua"/>
          <w:i/>
          <w:sz w:val="24"/>
          <w:szCs w:val="24"/>
        </w:rPr>
        <w:t xml:space="preserve">Commercial Arbitration Act </w:t>
      </w:r>
      <w:r w:rsidRPr="004969A2">
        <w:rPr>
          <w:rFonts w:ascii="Book Antiqua" w:hAnsi="Book Antiqua"/>
          <w:sz w:val="24"/>
          <w:szCs w:val="24"/>
        </w:rPr>
        <w:t>2011</w:t>
      </w:r>
      <w:r w:rsidRPr="002775FE">
        <w:rPr>
          <w:rFonts w:ascii="Book Antiqua" w:hAnsi="Book Antiqua"/>
          <w:sz w:val="24"/>
          <w:szCs w:val="24"/>
        </w:rPr>
        <w:t xml:space="preserve"> must comply with the requirements of Rule 9.20 (Form 2-9X).</w:t>
      </w:r>
    </w:p>
    <w:p w14:paraId="179F2995" w14:textId="77777777" w:rsidR="00F41853" w:rsidRPr="00885725" w:rsidRDefault="00F41853" w:rsidP="00F41853">
      <w:pPr>
        <w:pStyle w:val="ListParagraph"/>
        <w:spacing w:before="120" w:after="120"/>
        <w:jc w:val="both"/>
        <w:rPr>
          <w:rFonts w:ascii="Book Antiqua" w:hAnsi="Book Antiqua"/>
          <w:sz w:val="24"/>
          <w:szCs w:val="24"/>
        </w:rPr>
      </w:pPr>
    </w:p>
    <w:p w14:paraId="75355992" w14:textId="05BAAADE" w:rsidR="002775FE" w:rsidRPr="00885725" w:rsidRDefault="00F41853" w:rsidP="00645B63">
      <w:pPr>
        <w:pStyle w:val="ListParagraph"/>
        <w:numPr>
          <w:ilvl w:val="1"/>
          <w:numId w:val="24"/>
        </w:numPr>
        <w:spacing w:before="120" w:after="120"/>
        <w:ind w:left="720" w:hanging="720"/>
        <w:jc w:val="both"/>
        <w:rPr>
          <w:rFonts w:ascii="Book Antiqua" w:hAnsi="Book Antiqua"/>
          <w:sz w:val="24"/>
          <w:szCs w:val="24"/>
        </w:rPr>
      </w:pPr>
      <w:r w:rsidRPr="00885725">
        <w:rPr>
          <w:rFonts w:ascii="Book Antiqua" w:hAnsi="Book Antiqua"/>
          <w:sz w:val="24"/>
          <w:szCs w:val="24"/>
        </w:rPr>
        <w:t xml:space="preserve">Applications under miscellaneous provisions of the </w:t>
      </w:r>
      <w:r w:rsidRPr="00632250">
        <w:rPr>
          <w:rFonts w:ascii="Book Antiqua" w:hAnsi="Book Antiqua"/>
          <w:i/>
          <w:sz w:val="24"/>
          <w:szCs w:val="24"/>
        </w:rPr>
        <w:t xml:space="preserve">International Arbitration Act </w:t>
      </w:r>
      <w:r w:rsidRPr="004969A2">
        <w:rPr>
          <w:rFonts w:ascii="Book Antiqua" w:hAnsi="Book Antiqua"/>
          <w:sz w:val="24"/>
          <w:szCs w:val="24"/>
        </w:rPr>
        <w:t>1974</w:t>
      </w:r>
      <w:r w:rsidRPr="00632250">
        <w:rPr>
          <w:rFonts w:ascii="Book Antiqua" w:hAnsi="Book Antiqua"/>
          <w:i/>
          <w:sz w:val="24"/>
          <w:szCs w:val="24"/>
        </w:rPr>
        <w:t xml:space="preserve"> </w:t>
      </w:r>
      <w:r w:rsidRPr="00632250">
        <w:rPr>
          <w:rFonts w:ascii="Book Antiqua" w:hAnsi="Book Antiqua"/>
          <w:sz w:val="24"/>
          <w:szCs w:val="24"/>
        </w:rPr>
        <w:t>and the</w:t>
      </w:r>
      <w:r w:rsidRPr="00632250">
        <w:rPr>
          <w:rFonts w:ascii="Book Antiqua" w:hAnsi="Book Antiqua"/>
          <w:i/>
          <w:sz w:val="24"/>
          <w:szCs w:val="24"/>
        </w:rPr>
        <w:t xml:space="preserve"> Commercial Arbitration Act </w:t>
      </w:r>
      <w:r w:rsidRPr="004969A2">
        <w:rPr>
          <w:rFonts w:ascii="Book Antiqua" w:hAnsi="Book Antiqua"/>
          <w:sz w:val="24"/>
          <w:szCs w:val="24"/>
        </w:rPr>
        <w:t>2011</w:t>
      </w:r>
      <w:r w:rsidRPr="00885725">
        <w:rPr>
          <w:rFonts w:ascii="Book Antiqua" w:hAnsi="Book Antiqua"/>
          <w:sz w:val="24"/>
          <w:szCs w:val="24"/>
        </w:rPr>
        <w:t xml:space="preserve"> are provided for under Rules 9.09 (Form 2-9J) and 9.17 (Form 2-9U), respectively.</w:t>
      </w:r>
    </w:p>
    <w:p w14:paraId="11E167A1" w14:textId="4FA92B51" w:rsidR="002775FE" w:rsidRPr="00885725" w:rsidRDefault="008B3426" w:rsidP="00645B63">
      <w:pPr>
        <w:pStyle w:val="ListParagraph"/>
        <w:numPr>
          <w:ilvl w:val="1"/>
          <w:numId w:val="24"/>
        </w:numPr>
        <w:spacing w:before="120" w:after="120"/>
        <w:ind w:left="720" w:hanging="720"/>
        <w:jc w:val="both"/>
        <w:rPr>
          <w:rFonts w:ascii="Book Antiqua" w:hAnsi="Book Antiqua"/>
          <w:sz w:val="24"/>
          <w:szCs w:val="24"/>
        </w:rPr>
      </w:pPr>
      <w:r w:rsidRPr="00885725">
        <w:rPr>
          <w:rFonts w:ascii="Book Antiqua" w:hAnsi="Book Antiqua"/>
          <w:sz w:val="24"/>
          <w:szCs w:val="24"/>
        </w:rPr>
        <w:t>Parties seeking to bring an application must first con</w:t>
      </w:r>
      <w:r w:rsidR="0050437F">
        <w:rPr>
          <w:rFonts w:ascii="Book Antiqua" w:hAnsi="Book Antiqua"/>
          <w:sz w:val="24"/>
          <w:szCs w:val="24"/>
        </w:rPr>
        <w:t>sult with the A</w:t>
      </w:r>
      <w:r w:rsidR="00DA0D5E">
        <w:rPr>
          <w:rFonts w:ascii="Book Antiqua" w:hAnsi="Book Antiqua"/>
          <w:sz w:val="24"/>
          <w:szCs w:val="24"/>
        </w:rPr>
        <w:t>ssociate to the J</w:t>
      </w:r>
      <w:r w:rsidRPr="00885725">
        <w:rPr>
          <w:rFonts w:ascii="Book Antiqua" w:hAnsi="Book Antiqua"/>
          <w:sz w:val="24"/>
          <w:szCs w:val="24"/>
        </w:rPr>
        <w:t>udge managing the Commercial Court – Arbitration List to establish a hearing da</w:t>
      </w:r>
      <w:r w:rsidR="00F27D7F">
        <w:rPr>
          <w:rFonts w:ascii="Book Antiqua" w:hAnsi="Book Antiqua"/>
          <w:sz w:val="24"/>
          <w:szCs w:val="24"/>
        </w:rPr>
        <w:t xml:space="preserve">te and to appoint a </w:t>
      </w:r>
      <w:r w:rsidR="00DA0D5E">
        <w:rPr>
          <w:rFonts w:ascii="Book Antiqua" w:hAnsi="Book Antiqua"/>
          <w:sz w:val="24"/>
          <w:szCs w:val="24"/>
        </w:rPr>
        <w:t>J</w:t>
      </w:r>
      <w:r w:rsidRPr="00885725">
        <w:rPr>
          <w:rFonts w:ascii="Book Antiqua" w:hAnsi="Book Antiqua"/>
          <w:sz w:val="24"/>
          <w:szCs w:val="24"/>
        </w:rPr>
        <w:t>udge to hear the application.  The Commercial Court Registr</w:t>
      </w:r>
      <w:r w:rsidR="0026259E">
        <w:rPr>
          <w:rFonts w:ascii="Book Antiqua" w:hAnsi="Book Antiqua"/>
          <w:sz w:val="24"/>
          <w:szCs w:val="24"/>
        </w:rPr>
        <w:t xml:space="preserve">y </w:t>
      </w:r>
      <w:r w:rsidRPr="00885725">
        <w:rPr>
          <w:rFonts w:ascii="Book Antiqua" w:hAnsi="Book Antiqua"/>
          <w:sz w:val="24"/>
          <w:szCs w:val="24"/>
        </w:rPr>
        <w:t xml:space="preserve">will only accept a summons with a return date authorised by this </w:t>
      </w:r>
      <w:r w:rsidR="00DA0D5E">
        <w:rPr>
          <w:rFonts w:ascii="Book Antiqua" w:hAnsi="Book Antiqua"/>
          <w:sz w:val="24"/>
          <w:szCs w:val="24"/>
        </w:rPr>
        <w:t>A</w:t>
      </w:r>
      <w:r w:rsidRPr="00885725">
        <w:rPr>
          <w:rFonts w:ascii="Book Antiqua" w:hAnsi="Book Antiqua"/>
          <w:sz w:val="24"/>
          <w:szCs w:val="24"/>
        </w:rPr>
        <w:t>ssociate.</w:t>
      </w:r>
    </w:p>
    <w:p w14:paraId="610A32BA" w14:textId="4BA0823D" w:rsidR="008B3426" w:rsidRPr="00885725" w:rsidRDefault="008B3426" w:rsidP="00645B63">
      <w:pPr>
        <w:pStyle w:val="ListParagraph"/>
        <w:numPr>
          <w:ilvl w:val="1"/>
          <w:numId w:val="24"/>
        </w:numPr>
        <w:spacing w:before="120" w:after="120"/>
        <w:ind w:left="720" w:hanging="720"/>
        <w:jc w:val="both"/>
        <w:rPr>
          <w:rFonts w:ascii="Book Antiqua" w:hAnsi="Book Antiqua"/>
          <w:sz w:val="24"/>
          <w:szCs w:val="24"/>
        </w:rPr>
      </w:pPr>
      <w:r w:rsidRPr="00885725">
        <w:rPr>
          <w:rFonts w:ascii="Book Antiqua" w:hAnsi="Book Antiqua"/>
          <w:sz w:val="24"/>
          <w:szCs w:val="24"/>
        </w:rPr>
        <w:t>S</w:t>
      </w:r>
      <w:r w:rsidR="00DA0D5E">
        <w:rPr>
          <w:rFonts w:ascii="Book Antiqua" w:hAnsi="Book Antiqua"/>
          <w:sz w:val="24"/>
          <w:szCs w:val="24"/>
        </w:rPr>
        <w:t>ubject to any direction of the J</w:t>
      </w:r>
      <w:r w:rsidRPr="00885725">
        <w:rPr>
          <w:rFonts w:ascii="Book Antiqua" w:hAnsi="Book Antiqua"/>
          <w:sz w:val="24"/>
          <w:szCs w:val="24"/>
        </w:rPr>
        <w:t>udge hearing the application, pra</w:t>
      </w:r>
      <w:r w:rsidR="00DA0D5E">
        <w:rPr>
          <w:rFonts w:ascii="Book Antiqua" w:hAnsi="Book Antiqua"/>
          <w:sz w:val="24"/>
          <w:szCs w:val="24"/>
        </w:rPr>
        <w:t>ctitioners must deliver to the J</w:t>
      </w:r>
      <w:r w:rsidRPr="00885725">
        <w:rPr>
          <w:rFonts w:ascii="Book Antiqua" w:hAnsi="Book Antiqua"/>
          <w:sz w:val="24"/>
          <w:szCs w:val="24"/>
        </w:rPr>
        <w:t xml:space="preserve">udge, not less than two clear days before the time appointed for the hearing of the application, a copy of all affidavits, including exhibits, as required by the </w:t>
      </w:r>
      <w:r w:rsidRPr="00156A4C">
        <w:rPr>
          <w:rFonts w:ascii="Book Antiqua" w:hAnsi="Book Antiqua"/>
          <w:sz w:val="24"/>
          <w:szCs w:val="24"/>
        </w:rPr>
        <w:t>Arbitration Rules</w:t>
      </w:r>
      <w:r w:rsidRPr="00885725">
        <w:rPr>
          <w:rFonts w:ascii="Book Antiqua" w:hAnsi="Book Antiqua"/>
          <w:sz w:val="24"/>
          <w:szCs w:val="24"/>
        </w:rPr>
        <w:t>, together with a brief outline of argument in support of the application.</w:t>
      </w:r>
    </w:p>
    <w:p w14:paraId="095D33F0" w14:textId="58443BCA" w:rsidR="008B3426" w:rsidRDefault="008B3426" w:rsidP="00645B63">
      <w:pPr>
        <w:pStyle w:val="ListParagraph"/>
        <w:numPr>
          <w:ilvl w:val="1"/>
          <w:numId w:val="24"/>
        </w:numPr>
        <w:spacing w:before="120" w:after="120"/>
        <w:ind w:left="720" w:hanging="720"/>
        <w:jc w:val="both"/>
        <w:rPr>
          <w:rFonts w:ascii="Book Antiqua" w:hAnsi="Book Antiqua"/>
          <w:sz w:val="24"/>
          <w:szCs w:val="24"/>
        </w:rPr>
      </w:pPr>
      <w:r w:rsidRPr="00885725">
        <w:rPr>
          <w:rFonts w:ascii="Book Antiqua" w:hAnsi="Book Antiqua"/>
          <w:sz w:val="24"/>
          <w:szCs w:val="24"/>
        </w:rPr>
        <w:t>From time to time urgent interlocutory applications arise in the course of arbitration proceedings.  The Court is available on very short notice and at any time (during business hours or at any other time) to hear and promptly determine these applications.  The following applies to applicat</w:t>
      </w:r>
      <w:r w:rsidR="00DA0D5E">
        <w:rPr>
          <w:rFonts w:ascii="Book Antiqua" w:hAnsi="Book Antiqua"/>
          <w:sz w:val="24"/>
          <w:szCs w:val="24"/>
        </w:rPr>
        <w:t>ions which are accepted by the J</w:t>
      </w:r>
      <w:r w:rsidRPr="00885725">
        <w:rPr>
          <w:rFonts w:ascii="Book Antiqua" w:hAnsi="Book Antiqua"/>
          <w:sz w:val="24"/>
          <w:szCs w:val="24"/>
        </w:rPr>
        <w:t xml:space="preserve">udge managing the Commercial Court – Arbitration List, as urgent </w:t>
      </w:r>
      <w:r w:rsidR="00885725" w:rsidRPr="00885725">
        <w:rPr>
          <w:rFonts w:ascii="Book Antiqua" w:hAnsi="Book Antiqua"/>
          <w:sz w:val="24"/>
          <w:szCs w:val="24"/>
        </w:rPr>
        <w:t>–</w:t>
      </w:r>
    </w:p>
    <w:p w14:paraId="4A217EA7" w14:textId="77777777" w:rsidR="00885725" w:rsidRPr="00885725" w:rsidRDefault="00885725" w:rsidP="00885725">
      <w:pPr>
        <w:pStyle w:val="ListParagraph"/>
        <w:spacing w:before="120" w:after="120"/>
        <w:ind w:left="360"/>
        <w:jc w:val="both"/>
        <w:rPr>
          <w:rFonts w:ascii="Book Antiqua" w:hAnsi="Book Antiqua"/>
          <w:sz w:val="24"/>
          <w:szCs w:val="24"/>
        </w:rPr>
      </w:pPr>
    </w:p>
    <w:p w14:paraId="2AA69D2B" w14:textId="083C597E" w:rsidR="00885725" w:rsidRPr="00885725" w:rsidRDefault="00885725" w:rsidP="00645B63">
      <w:pPr>
        <w:pStyle w:val="ListParagraph"/>
        <w:numPr>
          <w:ilvl w:val="0"/>
          <w:numId w:val="34"/>
        </w:numPr>
        <w:spacing w:before="120" w:after="120"/>
        <w:ind w:left="1440" w:hanging="720"/>
        <w:jc w:val="both"/>
        <w:rPr>
          <w:rFonts w:ascii="Book Antiqua" w:hAnsi="Book Antiqua"/>
          <w:sz w:val="24"/>
          <w:szCs w:val="24"/>
        </w:rPr>
      </w:pPr>
      <w:r w:rsidRPr="00885725">
        <w:rPr>
          <w:rFonts w:ascii="Book Antiqua" w:hAnsi="Book Antiqua"/>
          <w:sz w:val="24"/>
          <w:szCs w:val="24"/>
        </w:rPr>
        <w:t>The</w:t>
      </w:r>
      <w:r w:rsidR="00DA0D5E">
        <w:rPr>
          <w:rFonts w:ascii="Book Antiqua" w:hAnsi="Book Antiqua"/>
          <w:sz w:val="24"/>
          <w:szCs w:val="24"/>
        </w:rPr>
        <w:t xml:space="preserve"> applicant must deliver to the Associate to the J</w:t>
      </w:r>
      <w:r w:rsidRPr="00885725">
        <w:rPr>
          <w:rFonts w:ascii="Book Antiqua" w:hAnsi="Book Antiqua"/>
          <w:sz w:val="24"/>
          <w:szCs w:val="24"/>
        </w:rPr>
        <w:t>udge managing the Commercial Court – Arbitration List at the time of seeking to bring the application a copy of the application and of all affidavits including exhibits as required by the Arbitration Rules and a brief outline of argument in support of the application;</w:t>
      </w:r>
    </w:p>
    <w:p w14:paraId="54E848D8" w14:textId="7983734E" w:rsidR="00885725" w:rsidRPr="00885725" w:rsidRDefault="00885725" w:rsidP="00645B63">
      <w:pPr>
        <w:pStyle w:val="ListParagraph"/>
        <w:numPr>
          <w:ilvl w:val="0"/>
          <w:numId w:val="34"/>
        </w:numPr>
        <w:spacing w:before="120" w:after="120"/>
        <w:ind w:left="1440" w:hanging="720"/>
        <w:jc w:val="both"/>
        <w:rPr>
          <w:rFonts w:ascii="Book Antiqua" w:hAnsi="Book Antiqua"/>
          <w:sz w:val="24"/>
          <w:szCs w:val="24"/>
        </w:rPr>
      </w:pPr>
      <w:r w:rsidRPr="00885725">
        <w:rPr>
          <w:rFonts w:ascii="Book Antiqua" w:hAnsi="Book Antiqua"/>
          <w:sz w:val="24"/>
          <w:szCs w:val="24"/>
        </w:rPr>
        <w:lastRenderedPageBreak/>
        <w:t>The practitioner for the respondent should as soon as practicable and in any event on the day prior to the hearing of the application (if possible in all the</w:t>
      </w:r>
      <w:r w:rsidR="00DA0D5E">
        <w:rPr>
          <w:rFonts w:ascii="Book Antiqua" w:hAnsi="Book Antiqua"/>
          <w:sz w:val="24"/>
          <w:szCs w:val="24"/>
        </w:rPr>
        <w:t xml:space="preserve"> circumstances) deliver to the A</w:t>
      </w:r>
      <w:r w:rsidRPr="00885725">
        <w:rPr>
          <w:rFonts w:ascii="Book Antiqua" w:hAnsi="Book Antiqua"/>
          <w:sz w:val="24"/>
          <w:szCs w:val="24"/>
        </w:rPr>
        <w:t xml:space="preserve">ssociate to the </w:t>
      </w:r>
      <w:r w:rsidR="00DA0D5E">
        <w:rPr>
          <w:rFonts w:ascii="Book Antiqua" w:hAnsi="Book Antiqua"/>
          <w:sz w:val="24"/>
          <w:szCs w:val="24"/>
        </w:rPr>
        <w:t>J</w:t>
      </w:r>
      <w:r w:rsidRPr="00885725">
        <w:rPr>
          <w:rFonts w:ascii="Book Antiqua" w:hAnsi="Book Antiqua"/>
          <w:sz w:val="24"/>
          <w:szCs w:val="24"/>
        </w:rPr>
        <w:t>udge appointed to hear the application, a copy of all affidavits including exhibits filed in opposition together with a brief outline of argument;</w:t>
      </w:r>
    </w:p>
    <w:p w14:paraId="6E3F7895" w14:textId="057EA948" w:rsidR="00885725" w:rsidRPr="00885725" w:rsidRDefault="00885725" w:rsidP="00645B63">
      <w:pPr>
        <w:pStyle w:val="ListParagraph"/>
        <w:numPr>
          <w:ilvl w:val="0"/>
          <w:numId w:val="34"/>
        </w:numPr>
        <w:spacing w:before="120" w:after="120"/>
        <w:ind w:left="1440" w:hanging="720"/>
        <w:jc w:val="both"/>
        <w:rPr>
          <w:rFonts w:ascii="Book Antiqua" w:hAnsi="Book Antiqua"/>
          <w:sz w:val="24"/>
          <w:szCs w:val="24"/>
        </w:rPr>
      </w:pPr>
      <w:r w:rsidRPr="00885725">
        <w:rPr>
          <w:rFonts w:ascii="Book Antiqua" w:hAnsi="Book Antiqua"/>
          <w:sz w:val="24"/>
          <w:szCs w:val="24"/>
        </w:rPr>
        <w:t>If all parties to t</w:t>
      </w:r>
      <w:r w:rsidR="00DA0D5E">
        <w:rPr>
          <w:rFonts w:ascii="Book Antiqua" w:hAnsi="Book Antiqua"/>
          <w:sz w:val="24"/>
          <w:szCs w:val="24"/>
        </w:rPr>
        <w:t>he application so request, the J</w:t>
      </w:r>
      <w:r w:rsidRPr="00885725">
        <w:rPr>
          <w:rFonts w:ascii="Book Antiqua" w:hAnsi="Book Antiqua"/>
          <w:sz w:val="24"/>
          <w:szCs w:val="24"/>
        </w:rPr>
        <w:t>udge appointed to hear the application may agree to determine the application within 24 hours of the completion of argument provided that in such a case no reasons for the decision will be provided at the time of determination.  Any party requir</w:t>
      </w:r>
      <w:r w:rsidR="00DA0D5E">
        <w:rPr>
          <w:rFonts w:ascii="Book Antiqua" w:hAnsi="Book Antiqua"/>
          <w:sz w:val="24"/>
          <w:szCs w:val="24"/>
        </w:rPr>
        <w:t>ing reasons must so advise the J</w:t>
      </w:r>
      <w:r w:rsidRPr="00885725">
        <w:rPr>
          <w:rFonts w:ascii="Book Antiqua" w:hAnsi="Book Antiqua"/>
          <w:sz w:val="24"/>
          <w:szCs w:val="24"/>
        </w:rPr>
        <w:t>udge at the tim</w:t>
      </w:r>
      <w:r w:rsidR="00DA0D5E">
        <w:rPr>
          <w:rFonts w:ascii="Book Antiqua" w:hAnsi="Book Antiqua"/>
          <w:sz w:val="24"/>
          <w:szCs w:val="24"/>
        </w:rPr>
        <w:t>e of the determination and the J</w:t>
      </w:r>
      <w:r w:rsidRPr="00885725">
        <w:rPr>
          <w:rFonts w:ascii="Book Antiqua" w:hAnsi="Book Antiqua"/>
          <w:sz w:val="24"/>
          <w:szCs w:val="24"/>
        </w:rPr>
        <w:t>udge will provide reasons, but they will be in short form.  Reasons in short form will be simply statements, without elaboration, of the findings of fact and principles of law which lead to the determination;</w:t>
      </w:r>
    </w:p>
    <w:p w14:paraId="1401DE79" w14:textId="6364F708" w:rsidR="00885725" w:rsidRPr="00885725" w:rsidRDefault="00885725" w:rsidP="00645B63">
      <w:pPr>
        <w:pStyle w:val="ListParagraph"/>
        <w:numPr>
          <w:ilvl w:val="0"/>
          <w:numId w:val="34"/>
        </w:numPr>
        <w:spacing w:before="120" w:after="120"/>
        <w:ind w:left="1440" w:hanging="720"/>
        <w:jc w:val="both"/>
        <w:rPr>
          <w:rFonts w:ascii="Book Antiqua" w:hAnsi="Book Antiqua"/>
          <w:sz w:val="24"/>
          <w:szCs w:val="24"/>
        </w:rPr>
      </w:pPr>
      <w:r w:rsidRPr="00885725">
        <w:rPr>
          <w:rFonts w:ascii="Book Antiqua" w:hAnsi="Book Antiqua"/>
          <w:sz w:val="24"/>
          <w:szCs w:val="24"/>
        </w:rPr>
        <w:t xml:space="preserve">If the application is one that is properly made ex parte, this should be clearly stated </w:t>
      </w:r>
      <w:r w:rsidR="00DA0D5E">
        <w:rPr>
          <w:rFonts w:ascii="Book Antiqua" w:hAnsi="Book Antiqua"/>
          <w:sz w:val="24"/>
          <w:szCs w:val="24"/>
        </w:rPr>
        <w:t>in all communications with the Associate to the J</w:t>
      </w:r>
      <w:r w:rsidRPr="00885725">
        <w:rPr>
          <w:rFonts w:ascii="Book Antiqua" w:hAnsi="Book Antiqua"/>
          <w:sz w:val="24"/>
          <w:szCs w:val="24"/>
        </w:rPr>
        <w:t xml:space="preserve">udge managing the Commercial Court – Arbitration List or the </w:t>
      </w:r>
      <w:r w:rsidR="00DA0D5E">
        <w:rPr>
          <w:rFonts w:ascii="Book Antiqua" w:hAnsi="Book Antiqua"/>
          <w:sz w:val="24"/>
          <w:szCs w:val="24"/>
        </w:rPr>
        <w:t>J</w:t>
      </w:r>
      <w:r w:rsidRPr="00885725">
        <w:rPr>
          <w:rFonts w:ascii="Book Antiqua" w:hAnsi="Book Antiqua"/>
          <w:sz w:val="24"/>
          <w:szCs w:val="24"/>
        </w:rPr>
        <w:t xml:space="preserve">udge appointed to hear the application, as the case may be. </w:t>
      </w:r>
      <w:r w:rsidR="00DA0D5E">
        <w:rPr>
          <w:rFonts w:ascii="Book Antiqua" w:hAnsi="Book Antiqua"/>
          <w:sz w:val="24"/>
          <w:szCs w:val="24"/>
        </w:rPr>
        <w:t xml:space="preserve"> </w:t>
      </w:r>
      <w:r w:rsidRPr="00885725">
        <w:rPr>
          <w:rFonts w:ascii="Book Antiqua" w:hAnsi="Book Antiqua"/>
          <w:sz w:val="24"/>
          <w:szCs w:val="24"/>
        </w:rPr>
        <w:t>Such communications need not be copied to the respondent until the interim determination of the application; and</w:t>
      </w:r>
    </w:p>
    <w:p w14:paraId="26C082A1" w14:textId="77777777" w:rsidR="00885725" w:rsidRPr="00885725" w:rsidRDefault="00885725" w:rsidP="00645B63">
      <w:pPr>
        <w:pStyle w:val="ListParagraph"/>
        <w:numPr>
          <w:ilvl w:val="0"/>
          <w:numId w:val="34"/>
        </w:numPr>
        <w:spacing w:before="120" w:after="120"/>
        <w:ind w:left="1440" w:hanging="720"/>
        <w:jc w:val="both"/>
        <w:rPr>
          <w:rFonts w:ascii="Book Antiqua" w:hAnsi="Book Antiqua"/>
          <w:sz w:val="24"/>
          <w:szCs w:val="24"/>
        </w:rPr>
      </w:pPr>
      <w:r w:rsidRPr="00885725">
        <w:rPr>
          <w:rFonts w:ascii="Book Antiqua" w:hAnsi="Book Antiqua"/>
          <w:sz w:val="24"/>
          <w:szCs w:val="24"/>
        </w:rPr>
        <w:t>Where an applicant for an interlocutory order offers, or the Court accepts, or an order or other Court document records, the giving of “the usual undertaking as to damages”, this shall be taken to mean the following undertaking given to the Court:</w:t>
      </w:r>
    </w:p>
    <w:p w14:paraId="0204B379" w14:textId="77777777" w:rsidR="00885725" w:rsidRDefault="00885725" w:rsidP="00885725">
      <w:pPr>
        <w:pStyle w:val="ListParagraph"/>
        <w:spacing w:before="120" w:after="120"/>
        <w:jc w:val="both"/>
        <w:rPr>
          <w:rFonts w:ascii="Book Antiqua" w:hAnsi="Book Antiqua"/>
          <w:sz w:val="24"/>
          <w:szCs w:val="24"/>
        </w:rPr>
      </w:pPr>
    </w:p>
    <w:p w14:paraId="42601695" w14:textId="77777777" w:rsidR="00885725" w:rsidRPr="00EA1FA8" w:rsidRDefault="00885725" w:rsidP="00885725">
      <w:pPr>
        <w:pStyle w:val="ListParagraph"/>
        <w:spacing w:before="120" w:after="120"/>
        <w:ind w:left="1440"/>
        <w:jc w:val="both"/>
        <w:rPr>
          <w:rFonts w:ascii="Book Antiqua" w:hAnsi="Book Antiqua"/>
          <w:i/>
          <w:sz w:val="24"/>
          <w:szCs w:val="24"/>
        </w:rPr>
      </w:pPr>
      <w:r w:rsidRPr="00EA1FA8">
        <w:rPr>
          <w:rFonts w:ascii="Book Antiqua" w:hAnsi="Book Antiqua"/>
          <w:i/>
          <w:sz w:val="24"/>
          <w:szCs w:val="24"/>
        </w:rPr>
        <w:t>To abide by any order which this Court might make as to damages, in case this Court shall be of the opinion that any person shall have sustained any loss, by reason of this order, which the party giving the undertaking ought to pay.</w:t>
      </w:r>
    </w:p>
    <w:p w14:paraId="5D953EF6" w14:textId="77777777" w:rsidR="00126481" w:rsidRDefault="00126481" w:rsidP="00126481">
      <w:pPr>
        <w:pStyle w:val="ListParagraph"/>
        <w:spacing w:before="120" w:after="120"/>
        <w:ind w:left="360"/>
        <w:jc w:val="both"/>
        <w:rPr>
          <w:rFonts w:ascii="Book Antiqua" w:hAnsi="Book Antiqua"/>
          <w:sz w:val="24"/>
          <w:szCs w:val="24"/>
        </w:rPr>
      </w:pPr>
    </w:p>
    <w:p w14:paraId="3169624C" w14:textId="0BD490F0" w:rsidR="00885725" w:rsidRDefault="00126481" w:rsidP="00645B63">
      <w:pPr>
        <w:pStyle w:val="ListParagraph"/>
        <w:numPr>
          <w:ilvl w:val="1"/>
          <w:numId w:val="24"/>
        </w:numPr>
        <w:spacing w:before="120" w:after="120"/>
        <w:ind w:left="720" w:hanging="720"/>
        <w:jc w:val="both"/>
        <w:rPr>
          <w:rFonts w:ascii="Book Antiqua" w:hAnsi="Book Antiqua"/>
          <w:sz w:val="24"/>
          <w:szCs w:val="24"/>
        </w:rPr>
      </w:pPr>
      <w:r w:rsidRPr="00126481">
        <w:rPr>
          <w:rFonts w:ascii="Book Antiqua" w:hAnsi="Book Antiqua"/>
          <w:sz w:val="24"/>
          <w:szCs w:val="24"/>
        </w:rPr>
        <w:t>These procedural arrangements will apply notwithstanding the Commercial Court Practice Note</w:t>
      </w:r>
      <w:r w:rsidR="004969A2">
        <w:rPr>
          <w:rFonts w:ascii="Book Antiqua" w:hAnsi="Book Antiqua"/>
          <w:sz w:val="24"/>
          <w:szCs w:val="24"/>
        </w:rPr>
        <w:t xml:space="preserve"> SC CC 1</w:t>
      </w:r>
      <w:r w:rsidRPr="00126481">
        <w:rPr>
          <w:rFonts w:ascii="Book Antiqua" w:hAnsi="Book Antiqua"/>
          <w:sz w:val="24"/>
          <w:szCs w:val="24"/>
        </w:rPr>
        <w:t xml:space="preserve">.  Otherwise, </w:t>
      </w:r>
      <w:r w:rsidR="006261C0">
        <w:rPr>
          <w:rFonts w:ascii="Book Antiqua" w:hAnsi="Book Antiqua"/>
          <w:sz w:val="24"/>
          <w:szCs w:val="24"/>
        </w:rPr>
        <w:t xml:space="preserve">the </w:t>
      </w:r>
      <w:r w:rsidR="006261C0" w:rsidRPr="00126481">
        <w:rPr>
          <w:rFonts w:ascii="Book Antiqua" w:hAnsi="Book Antiqua"/>
          <w:sz w:val="24"/>
          <w:szCs w:val="24"/>
        </w:rPr>
        <w:t>Commercial Court Practice Note</w:t>
      </w:r>
      <w:r w:rsidR="006261C0">
        <w:rPr>
          <w:rFonts w:ascii="Book Antiqua" w:hAnsi="Book Antiqua"/>
          <w:sz w:val="24"/>
          <w:szCs w:val="24"/>
        </w:rPr>
        <w:t xml:space="preserve"> SC CC 1 is </w:t>
      </w:r>
      <w:r w:rsidRPr="00126481">
        <w:rPr>
          <w:rFonts w:ascii="Book Antiqua" w:hAnsi="Book Antiqua"/>
          <w:sz w:val="24"/>
          <w:szCs w:val="24"/>
        </w:rPr>
        <w:t xml:space="preserve">applicable to the extent that </w:t>
      </w:r>
      <w:r w:rsidR="006261C0">
        <w:rPr>
          <w:rFonts w:ascii="Book Antiqua" w:hAnsi="Book Antiqua"/>
          <w:sz w:val="24"/>
          <w:szCs w:val="24"/>
        </w:rPr>
        <w:t xml:space="preserve">it is </w:t>
      </w:r>
      <w:r w:rsidRPr="00126481">
        <w:rPr>
          <w:rFonts w:ascii="Book Antiqua" w:hAnsi="Book Antiqua"/>
          <w:sz w:val="24"/>
          <w:szCs w:val="24"/>
        </w:rPr>
        <w:t>not inconsistent with these procedural arrangements</w:t>
      </w:r>
      <w:r w:rsidR="006261C0">
        <w:rPr>
          <w:rFonts w:ascii="Book Antiqua" w:hAnsi="Book Antiqua"/>
          <w:sz w:val="24"/>
          <w:szCs w:val="24"/>
        </w:rPr>
        <w:t>.</w:t>
      </w:r>
    </w:p>
    <w:p w14:paraId="57178587" w14:textId="77777777" w:rsidR="0021363A" w:rsidRPr="00885725" w:rsidRDefault="0021363A" w:rsidP="0021363A">
      <w:pPr>
        <w:pStyle w:val="ListParagraph"/>
        <w:spacing w:before="120" w:after="120"/>
        <w:ind w:left="360"/>
        <w:jc w:val="both"/>
        <w:rPr>
          <w:rFonts w:ascii="Book Antiqua" w:hAnsi="Book Antiqua"/>
          <w:sz w:val="24"/>
          <w:szCs w:val="24"/>
        </w:rPr>
      </w:pPr>
    </w:p>
    <w:p w14:paraId="0F514B08" w14:textId="3431FC32" w:rsidR="002775FE" w:rsidRDefault="00FD389D" w:rsidP="0021363A">
      <w:pPr>
        <w:pStyle w:val="Heading1"/>
        <w:spacing w:before="120" w:after="120"/>
        <w:rPr>
          <w:rFonts w:ascii="Book Antiqua" w:hAnsi="Book Antiqua"/>
        </w:rPr>
      </w:pPr>
      <w:r>
        <w:rPr>
          <w:rFonts w:ascii="Book Antiqua" w:hAnsi="Book Antiqua"/>
        </w:rPr>
        <w:t xml:space="preserve">COMMERCIAL COURT – ARBITRATION PROCEEDINGS </w:t>
      </w:r>
    </w:p>
    <w:p w14:paraId="01AEE066" w14:textId="54FBB49E" w:rsidR="0021363A" w:rsidRPr="0021363A" w:rsidRDefault="0021363A" w:rsidP="00645B63">
      <w:pPr>
        <w:pStyle w:val="ListParagraph"/>
        <w:numPr>
          <w:ilvl w:val="1"/>
          <w:numId w:val="24"/>
        </w:numPr>
        <w:spacing w:before="120" w:after="120"/>
        <w:ind w:left="720" w:hanging="720"/>
        <w:jc w:val="both"/>
        <w:rPr>
          <w:rFonts w:ascii="Book Antiqua" w:hAnsi="Book Antiqua"/>
          <w:sz w:val="24"/>
          <w:szCs w:val="24"/>
        </w:rPr>
      </w:pPr>
      <w:r w:rsidRPr="0021363A">
        <w:rPr>
          <w:rFonts w:ascii="Book Antiqua" w:hAnsi="Book Antiqua"/>
          <w:sz w:val="24"/>
          <w:szCs w:val="24"/>
        </w:rPr>
        <w:t xml:space="preserve">The Chief Justice has appointed the Hon. Justice Croft to manage the Commercial Court – Arbitration List.  All arbitration proceedings, any applications in arbitration proceedings, and any urgent applications with respect to arbitration matters, </w:t>
      </w:r>
      <w:r w:rsidRPr="00674784">
        <w:rPr>
          <w:rFonts w:ascii="Book Antiqua" w:hAnsi="Book Antiqua"/>
          <w:sz w:val="24"/>
          <w:szCs w:val="24"/>
        </w:rPr>
        <w:t xml:space="preserve">should be directed </w:t>
      </w:r>
      <w:r w:rsidR="00C30E27" w:rsidRPr="00674784">
        <w:rPr>
          <w:rFonts w:ascii="Book Antiqua" w:hAnsi="Book Antiqua"/>
          <w:sz w:val="24"/>
          <w:szCs w:val="24"/>
        </w:rPr>
        <w:t xml:space="preserve">at first instance </w:t>
      </w:r>
      <w:r w:rsidR="0050437F">
        <w:rPr>
          <w:rFonts w:ascii="Book Antiqua" w:hAnsi="Book Antiqua"/>
          <w:sz w:val="24"/>
          <w:szCs w:val="24"/>
        </w:rPr>
        <w:t>to his Honour’s A</w:t>
      </w:r>
      <w:r w:rsidRPr="00674784">
        <w:rPr>
          <w:rFonts w:ascii="Book Antiqua" w:hAnsi="Book Antiqua"/>
          <w:sz w:val="24"/>
          <w:szCs w:val="24"/>
        </w:rPr>
        <w:t>ssociate</w:t>
      </w:r>
      <w:r w:rsidR="0026259E" w:rsidRPr="00674784">
        <w:rPr>
          <w:rFonts w:ascii="Book Antiqua" w:hAnsi="Book Antiqua"/>
          <w:sz w:val="24"/>
          <w:szCs w:val="24"/>
        </w:rPr>
        <w:t xml:space="preserve"> (telephone 03 9603 7731</w:t>
      </w:r>
      <w:r w:rsidR="001815F9" w:rsidRPr="00674784">
        <w:rPr>
          <w:rFonts w:ascii="Book Antiqua" w:hAnsi="Book Antiqua"/>
          <w:sz w:val="24"/>
          <w:szCs w:val="24"/>
        </w:rPr>
        <w:t xml:space="preserve"> or email </w:t>
      </w:r>
      <w:hyperlink r:id="rId22" w:history="1">
        <w:r w:rsidR="00674784" w:rsidRPr="00CC3845">
          <w:rPr>
            <w:rStyle w:val="Hyperlink"/>
            <w:rFonts w:ascii="Book Antiqua" w:hAnsi="Book Antiqua"/>
            <w:sz w:val="24"/>
            <w:szCs w:val="24"/>
            <w:lang w:eastAsia="en-US"/>
          </w:rPr>
          <w:t>croftj.associates@supcourt.vic.gov.au</w:t>
        </w:r>
      </w:hyperlink>
      <w:r w:rsidR="0026259E" w:rsidRPr="00674784">
        <w:rPr>
          <w:rFonts w:ascii="Book Antiqua" w:hAnsi="Book Antiqua"/>
          <w:sz w:val="24"/>
          <w:szCs w:val="24"/>
        </w:rPr>
        <w:t>)</w:t>
      </w:r>
      <w:r w:rsidRPr="00674784">
        <w:rPr>
          <w:rFonts w:ascii="Book Antiqua" w:hAnsi="Book Antiqua"/>
          <w:sz w:val="24"/>
          <w:szCs w:val="24"/>
        </w:rPr>
        <w:t xml:space="preserve">. </w:t>
      </w:r>
      <w:r w:rsidR="00C41A29" w:rsidRPr="00674784">
        <w:rPr>
          <w:rFonts w:ascii="Book Antiqua" w:hAnsi="Book Antiqua"/>
          <w:sz w:val="24"/>
          <w:szCs w:val="24"/>
        </w:rPr>
        <w:t xml:space="preserve"> </w:t>
      </w:r>
      <w:r w:rsidR="00C30E27" w:rsidRPr="00674784">
        <w:rPr>
          <w:rFonts w:ascii="Book Antiqua" w:hAnsi="Book Antiqua"/>
          <w:sz w:val="24"/>
          <w:szCs w:val="24"/>
        </w:rPr>
        <w:t>Failing this</w:t>
      </w:r>
      <w:r w:rsidR="00C41A29">
        <w:rPr>
          <w:rFonts w:ascii="Book Antiqua" w:hAnsi="Book Antiqua"/>
          <w:sz w:val="24"/>
          <w:szCs w:val="24"/>
        </w:rPr>
        <w:t>, parties should refer to the procedure set out in</w:t>
      </w:r>
      <w:r w:rsidR="00016A3C">
        <w:rPr>
          <w:rFonts w:ascii="Book Antiqua" w:hAnsi="Book Antiqua"/>
          <w:sz w:val="24"/>
          <w:szCs w:val="24"/>
        </w:rPr>
        <w:t xml:space="preserve"> </w:t>
      </w:r>
      <w:r w:rsidR="00DA0D5E">
        <w:rPr>
          <w:rFonts w:ascii="Book Antiqua" w:hAnsi="Book Antiqua"/>
          <w:sz w:val="24"/>
          <w:szCs w:val="24"/>
        </w:rPr>
        <w:t>SC CC 1</w:t>
      </w:r>
      <w:r w:rsidR="00016A3C" w:rsidRPr="00126481">
        <w:rPr>
          <w:rFonts w:ascii="Book Antiqua" w:hAnsi="Book Antiqua"/>
          <w:sz w:val="24"/>
          <w:szCs w:val="24"/>
        </w:rPr>
        <w:t>.</w:t>
      </w:r>
      <w:r w:rsidR="00C41A29">
        <w:rPr>
          <w:rFonts w:ascii="Book Antiqua" w:hAnsi="Book Antiqua"/>
          <w:sz w:val="24"/>
          <w:szCs w:val="24"/>
        </w:rPr>
        <w:t xml:space="preserve"> </w:t>
      </w:r>
    </w:p>
    <w:p w14:paraId="2CE36AEB" w14:textId="4C34DDCC" w:rsidR="0021363A" w:rsidRPr="0021363A" w:rsidRDefault="0021363A" w:rsidP="00645B63">
      <w:pPr>
        <w:pStyle w:val="ListParagraph"/>
        <w:numPr>
          <w:ilvl w:val="1"/>
          <w:numId w:val="24"/>
        </w:numPr>
        <w:spacing w:before="120" w:after="120"/>
        <w:ind w:left="720" w:hanging="720"/>
        <w:jc w:val="both"/>
        <w:rPr>
          <w:rFonts w:ascii="Book Antiqua" w:hAnsi="Book Antiqua"/>
          <w:sz w:val="24"/>
          <w:szCs w:val="24"/>
        </w:rPr>
      </w:pPr>
      <w:r w:rsidRPr="0021363A">
        <w:rPr>
          <w:rFonts w:ascii="Book Antiqua" w:hAnsi="Book Antiqua"/>
          <w:sz w:val="24"/>
          <w:szCs w:val="24"/>
        </w:rPr>
        <w:t xml:space="preserve">Arbitration matters arising in proceedings already allocated to the Technology, Engineering and Construction List (TEC List) will continue to be managed within that List, though they may be transferred to the Arbitration List in accordance with the usual practice applied in the Commercial Court with </w:t>
      </w:r>
      <w:r w:rsidRPr="0021363A">
        <w:rPr>
          <w:rFonts w:ascii="Book Antiqua" w:hAnsi="Book Antiqua"/>
          <w:sz w:val="24"/>
          <w:szCs w:val="24"/>
        </w:rPr>
        <w:lastRenderedPageBreak/>
        <w:t xml:space="preserve">respect to the transfer of matters between </w:t>
      </w:r>
      <w:r w:rsidR="000100D3">
        <w:rPr>
          <w:rFonts w:ascii="Book Antiqua" w:hAnsi="Book Antiqua"/>
          <w:sz w:val="24"/>
          <w:szCs w:val="24"/>
        </w:rPr>
        <w:t>L</w:t>
      </w:r>
      <w:r w:rsidRPr="0021363A">
        <w:rPr>
          <w:rFonts w:ascii="Book Antiqua" w:hAnsi="Book Antiqua"/>
          <w:sz w:val="24"/>
          <w:szCs w:val="24"/>
        </w:rPr>
        <w:t>ists in that Court.  The same position applies with respect to the possibility of transfer of arbitration matters from the Arbitration List to the TEC List.</w:t>
      </w:r>
    </w:p>
    <w:p w14:paraId="390C9EB9" w14:textId="210FB476" w:rsidR="00FD389D" w:rsidRPr="00885725" w:rsidRDefault="0021363A" w:rsidP="00645B63">
      <w:pPr>
        <w:pStyle w:val="ListParagraph"/>
        <w:numPr>
          <w:ilvl w:val="1"/>
          <w:numId w:val="24"/>
        </w:numPr>
        <w:spacing w:before="120" w:after="120"/>
        <w:ind w:left="720" w:hanging="720"/>
        <w:jc w:val="both"/>
        <w:rPr>
          <w:rFonts w:ascii="Book Antiqua" w:hAnsi="Book Antiqua"/>
          <w:sz w:val="24"/>
          <w:szCs w:val="24"/>
        </w:rPr>
      </w:pPr>
      <w:r w:rsidRPr="0021363A">
        <w:rPr>
          <w:rFonts w:ascii="Book Antiqua" w:hAnsi="Book Antiqua"/>
          <w:sz w:val="24"/>
          <w:szCs w:val="24"/>
        </w:rPr>
        <w:t xml:space="preserve">Any changes in these arrangements will be notified from time to time on the </w:t>
      </w:r>
      <w:hyperlink r:id="rId23" w:history="1">
        <w:r w:rsidRPr="0021363A">
          <w:rPr>
            <w:rFonts w:ascii="Book Antiqua" w:hAnsi="Book Antiqua"/>
            <w:sz w:val="24"/>
            <w:szCs w:val="24"/>
          </w:rPr>
          <w:t>Commercial Court section of the Supreme Court website</w:t>
        </w:r>
      </w:hyperlink>
      <w:r w:rsidRPr="0021363A">
        <w:rPr>
          <w:rFonts w:ascii="Book Antiqua" w:hAnsi="Book Antiqua"/>
          <w:sz w:val="24"/>
          <w:szCs w:val="24"/>
        </w:rPr>
        <w:t xml:space="preserve">.  </w:t>
      </w:r>
    </w:p>
    <w:p w14:paraId="55FF1AA5" w14:textId="77777777" w:rsidR="00DC72B0" w:rsidRDefault="00DC72B0" w:rsidP="00D91E13"/>
    <w:p w14:paraId="33001E7F" w14:textId="77777777" w:rsidR="00D91E13" w:rsidRPr="00D91E13" w:rsidRDefault="00D91E13" w:rsidP="00D91E13"/>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11EC2F16" w:rsidR="00AB3FFA" w:rsidRPr="00277B7B" w:rsidRDefault="00902DA1" w:rsidP="00CD0331">
      <w:pPr>
        <w:spacing w:before="120" w:after="120"/>
        <w:jc w:val="both"/>
        <w:rPr>
          <w:rFonts w:ascii="Book Antiqua" w:hAnsi="Book Antiqua"/>
        </w:rPr>
      </w:pPr>
      <w:r>
        <w:rPr>
          <w:rFonts w:ascii="Book Antiqua" w:hAnsi="Book Antiqua"/>
        </w:rPr>
        <w:t>30</w:t>
      </w:r>
      <w:r w:rsidR="00E014A0">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E014A0">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9A4878">
        <w:rPr>
          <w:rFonts w:ascii="Book Antiqua" w:hAnsi="Book Antiqua"/>
        </w:rPr>
        <w:t xml:space="preserve"> Practice Notes 2 of 2010 and 7 of 2006. </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22181C1E" w14:textId="77777777" w:rsidR="00D82242" w:rsidRPr="007917BE" w:rsidRDefault="00D82242" w:rsidP="00D82242">
      <w:pPr>
        <w:spacing w:before="120" w:after="120"/>
        <w:ind w:left="720" w:hanging="720"/>
        <w:jc w:val="right"/>
        <w:rPr>
          <w:rFonts w:ascii="Book Antiqua" w:hAnsi="Book Antiqua"/>
        </w:rPr>
      </w:pPr>
      <w:r w:rsidRPr="007D242B">
        <w:rPr>
          <w:rFonts w:ascii="Book Antiqua" w:hAnsi="Book Antiqua"/>
        </w:rPr>
        <w:t xml:space="preserve">Vivienne </w:t>
      </w:r>
      <w:proofErr w:type="spellStart"/>
      <w:r w:rsidRPr="007D242B">
        <w:rPr>
          <w:rFonts w:ascii="Book Antiqua" w:hAnsi="Book Antiqua"/>
        </w:rPr>
        <w:t>Macgillivray</w:t>
      </w:r>
      <w:proofErr w:type="spellEnd"/>
    </w:p>
    <w:p w14:paraId="11FB7F32" w14:textId="77777777" w:rsidR="00D82242" w:rsidRPr="007917BE" w:rsidRDefault="00D82242" w:rsidP="00D82242">
      <w:pPr>
        <w:spacing w:before="120" w:after="120"/>
        <w:ind w:left="720" w:hanging="720"/>
        <w:jc w:val="right"/>
        <w:rPr>
          <w:rFonts w:ascii="Book Antiqua" w:hAnsi="Book Antiqua"/>
        </w:rPr>
      </w:pPr>
      <w:r w:rsidRPr="007917BE">
        <w:rPr>
          <w:rFonts w:ascii="Book Antiqua" w:hAnsi="Book Antiqua"/>
        </w:rPr>
        <w:t>Executive Associate to the Chief Justice</w:t>
      </w:r>
    </w:p>
    <w:p w14:paraId="784B61E6" w14:textId="71E3E4F5" w:rsidR="00D82242" w:rsidRPr="007917BE" w:rsidRDefault="00902DA1" w:rsidP="00D82242">
      <w:pPr>
        <w:spacing w:before="120" w:after="120"/>
        <w:ind w:left="720" w:hanging="720"/>
        <w:jc w:val="right"/>
        <w:rPr>
          <w:rFonts w:ascii="Book Antiqua" w:hAnsi="Book Antiqua"/>
        </w:rPr>
      </w:pPr>
      <w:r>
        <w:rPr>
          <w:rFonts w:ascii="Book Antiqua" w:hAnsi="Book Antiqua"/>
        </w:rPr>
        <w:t>30</w:t>
      </w:r>
      <w:r w:rsidR="00D82242">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E64D17">
      <w:rPr>
        <w:noProof/>
      </w:rPr>
      <w:t>5</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2A8C"/>
    <w:multiLevelType w:val="multilevel"/>
    <w:tmpl w:val="14C4F44C"/>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2B4C5E"/>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B30295"/>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62D3C56"/>
    <w:multiLevelType w:val="hybridMultilevel"/>
    <w:tmpl w:val="D1B4743A"/>
    <w:lvl w:ilvl="0" w:tplc="36E8DB5C">
      <w:start w:val="1"/>
      <w:numFmt w:val="upperLetter"/>
      <w:lvlText w:val="(%1)"/>
      <w:lvlJc w:val="left"/>
      <w:pPr>
        <w:ind w:left="720" w:hanging="360"/>
      </w:pPr>
      <w:rPr>
        <w:rFonts w:ascii="Times New Roman" w:hAnsi="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83968"/>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7984F30"/>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600153CB"/>
    <w:multiLevelType w:val="hybridMultilevel"/>
    <w:tmpl w:val="BBA408F4"/>
    <w:lvl w:ilvl="0" w:tplc="6D6AD67E">
      <w:start w:val="1"/>
      <w:numFmt w:val="lowerLetter"/>
      <w:lvlText w:val="(%1)"/>
      <w:lvlJc w:val="left"/>
      <w:pPr>
        <w:tabs>
          <w:tab w:val="num" w:pos="1440"/>
        </w:tabs>
        <w:ind w:left="1440" w:hanging="360"/>
      </w:pPr>
      <w:rPr>
        <w:rFonts w:hint="default"/>
      </w:rPr>
    </w:lvl>
    <w:lvl w:ilvl="1" w:tplc="BAD2791A">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604680B"/>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nsid w:val="7A834492"/>
    <w:multiLevelType w:val="hybridMultilevel"/>
    <w:tmpl w:val="6C64C13E"/>
    <w:lvl w:ilvl="0" w:tplc="A726D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2"/>
  </w:num>
  <w:num w:numId="3">
    <w:abstractNumId w:val="22"/>
  </w:num>
  <w:num w:numId="4">
    <w:abstractNumId w:val="31"/>
  </w:num>
  <w:num w:numId="5">
    <w:abstractNumId w:val="9"/>
  </w:num>
  <w:num w:numId="6">
    <w:abstractNumId w:val="26"/>
  </w:num>
  <w:num w:numId="7">
    <w:abstractNumId w:val="28"/>
  </w:num>
  <w:num w:numId="8">
    <w:abstractNumId w:val="19"/>
  </w:num>
  <w:num w:numId="9">
    <w:abstractNumId w:val="2"/>
  </w:num>
  <w:num w:numId="10">
    <w:abstractNumId w:val="16"/>
  </w:num>
  <w:num w:numId="11">
    <w:abstractNumId w:val="21"/>
  </w:num>
  <w:num w:numId="12">
    <w:abstractNumId w:val="24"/>
  </w:num>
  <w:num w:numId="13">
    <w:abstractNumId w:val="4"/>
  </w:num>
  <w:num w:numId="14">
    <w:abstractNumId w:val="3"/>
  </w:num>
  <w:num w:numId="15">
    <w:abstractNumId w:val="13"/>
  </w:num>
  <w:num w:numId="16">
    <w:abstractNumId w:val="0"/>
  </w:num>
  <w:num w:numId="17">
    <w:abstractNumId w:val="10"/>
  </w:num>
  <w:num w:numId="18">
    <w:abstractNumId w:val="27"/>
  </w:num>
  <w:num w:numId="19">
    <w:abstractNumId w:val="8"/>
  </w:num>
  <w:num w:numId="20">
    <w:abstractNumId w:val="5"/>
  </w:num>
  <w:num w:numId="21">
    <w:abstractNumId w:val="15"/>
  </w:num>
  <w:num w:numId="22">
    <w:abstractNumId w:val="14"/>
  </w:num>
  <w:num w:numId="23">
    <w:abstractNumId w:val="17"/>
  </w:num>
  <w:num w:numId="24">
    <w:abstractNumId w:val="1"/>
  </w:num>
  <w:num w:numId="25">
    <w:abstractNumId w:val="11"/>
  </w:num>
  <w:num w:numId="26">
    <w:abstractNumId w:val="20"/>
  </w:num>
  <w:num w:numId="27">
    <w:abstractNumId w:val="6"/>
  </w:num>
  <w:num w:numId="28">
    <w:abstractNumId w:val="18"/>
  </w:num>
  <w:num w:numId="29">
    <w:abstractNumId w:val="1"/>
  </w:num>
  <w:num w:numId="30">
    <w:abstractNumId w:val="7"/>
  </w:num>
  <w:num w:numId="31">
    <w:abstractNumId w:val="1"/>
  </w:num>
  <w:num w:numId="32">
    <w:abstractNumId w:val="30"/>
  </w:num>
  <w:num w:numId="33">
    <w:abstractNumId w:val="23"/>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00D3"/>
    <w:rsid w:val="000118DD"/>
    <w:rsid w:val="0001288E"/>
    <w:rsid w:val="000128D0"/>
    <w:rsid w:val="00013D3B"/>
    <w:rsid w:val="00014B10"/>
    <w:rsid w:val="00016A3C"/>
    <w:rsid w:val="0003306E"/>
    <w:rsid w:val="00034D85"/>
    <w:rsid w:val="00035057"/>
    <w:rsid w:val="00036894"/>
    <w:rsid w:val="00036BA1"/>
    <w:rsid w:val="00037D26"/>
    <w:rsid w:val="00043448"/>
    <w:rsid w:val="00055F43"/>
    <w:rsid w:val="000566C3"/>
    <w:rsid w:val="00063883"/>
    <w:rsid w:val="00070CA2"/>
    <w:rsid w:val="00070D66"/>
    <w:rsid w:val="00071A96"/>
    <w:rsid w:val="00073139"/>
    <w:rsid w:val="00073769"/>
    <w:rsid w:val="00077863"/>
    <w:rsid w:val="00081A41"/>
    <w:rsid w:val="00095BA5"/>
    <w:rsid w:val="000A1DE7"/>
    <w:rsid w:val="000A4F62"/>
    <w:rsid w:val="000A553C"/>
    <w:rsid w:val="000A6B76"/>
    <w:rsid w:val="000B2E54"/>
    <w:rsid w:val="000B50C9"/>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06DE"/>
    <w:rsid w:val="00121C72"/>
    <w:rsid w:val="00125C07"/>
    <w:rsid w:val="00126481"/>
    <w:rsid w:val="00133A51"/>
    <w:rsid w:val="001344BA"/>
    <w:rsid w:val="00140683"/>
    <w:rsid w:val="00143136"/>
    <w:rsid w:val="00143818"/>
    <w:rsid w:val="00144DAA"/>
    <w:rsid w:val="00145C92"/>
    <w:rsid w:val="00145D28"/>
    <w:rsid w:val="0014603C"/>
    <w:rsid w:val="0015063E"/>
    <w:rsid w:val="00155A8E"/>
    <w:rsid w:val="0015650D"/>
    <w:rsid w:val="00156A4C"/>
    <w:rsid w:val="00156D5D"/>
    <w:rsid w:val="0016054E"/>
    <w:rsid w:val="00161B6C"/>
    <w:rsid w:val="00161CA2"/>
    <w:rsid w:val="001716EF"/>
    <w:rsid w:val="0018061B"/>
    <w:rsid w:val="001815F9"/>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E0318"/>
    <w:rsid w:val="00207367"/>
    <w:rsid w:val="0021363A"/>
    <w:rsid w:val="00216DCF"/>
    <w:rsid w:val="00217758"/>
    <w:rsid w:val="00217E88"/>
    <w:rsid w:val="002218C5"/>
    <w:rsid w:val="00222544"/>
    <w:rsid w:val="0022666D"/>
    <w:rsid w:val="0023426A"/>
    <w:rsid w:val="00234B7B"/>
    <w:rsid w:val="00241A4E"/>
    <w:rsid w:val="00245746"/>
    <w:rsid w:val="00247F50"/>
    <w:rsid w:val="002572C2"/>
    <w:rsid w:val="0026005D"/>
    <w:rsid w:val="0026259E"/>
    <w:rsid w:val="00265BF9"/>
    <w:rsid w:val="00271B59"/>
    <w:rsid w:val="00275A5A"/>
    <w:rsid w:val="002775FE"/>
    <w:rsid w:val="00277B7B"/>
    <w:rsid w:val="002812ED"/>
    <w:rsid w:val="0028130B"/>
    <w:rsid w:val="002B465A"/>
    <w:rsid w:val="002C1134"/>
    <w:rsid w:val="002C56E8"/>
    <w:rsid w:val="002D0AB0"/>
    <w:rsid w:val="002D0FD3"/>
    <w:rsid w:val="002D23D8"/>
    <w:rsid w:val="002D6E79"/>
    <w:rsid w:val="002E0F6B"/>
    <w:rsid w:val="002E4ACD"/>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2B33"/>
    <w:rsid w:val="003E4C44"/>
    <w:rsid w:val="003E6152"/>
    <w:rsid w:val="003E66CF"/>
    <w:rsid w:val="003F0D9C"/>
    <w:rsid w:val="0040173B"/>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9A2"/>
    <w:rsid w:val="00496F08"/>
    <w:rsid w:val="004B1AC7"/>
    <w:rsid w:val="004B2A72"/>
    <w:rsid w:val="004B4458"/>
    <w:rsid w:val="004B5756"/>
    <w:rsid w:val="004B6E9A"/>
    <w:rsid w:val="004C1FFA"/>
    <w:rsid w:val="004C29B1"/>
    <w:rsid w:val="004D07F1"/>
    <w:rsid w:val="004D0CD1"/>
    <w:rsid w:val="004D1112"/>
    <w:rsid w:val="004D2141"/>
    <w:rsid w:val="004E095B"/>
    <w:rsid w:val="004E1038"/>
    <w:rsid w:val="004E1052"/>
    <w:rsid w:val="004E10CA"/>
    <w:rsid w:val="004E284B"/>
    <w:rsid w:val="004F61E8"/>
    <w:rsid w:val="004F7E81"/>
    <w:rsid w:val="0050429E"/>
    <w:rsid w:val="0050437F"/>
    <w:rsid w:val="00504805"/>
    <w:rsid w:val="00506B52"/>
    <w:rsid w:val="00512025"/>
    <w:rsid w:val="005123B0"/>
    <w:rsid w:val="005158D2"/>
    <w:rsid w:val="005173D2"/>
    <w:rsid w:val="005278A1"/>
    <w:rsid w:val="00540E14"/>
    <w:rsid w:val="00541EAB"/>
    <w:rsid w:val="00543915"/>
    <w:rsid w:val="00547600"/>
    <w:rsid w:val="00550871"/>
    <w:rsid w:val="005534A5"/>
    <w:rsid w:val="00553534"/>
    <w:rsid w:val="00554A65"/>
    <w:rsid w:val="0055503D"/>
    <w:rsid w:val="00561105"/>
    <w:rsid w:val="0056389E"/>
    <w:rsid w:val="00565B62"/>
    <w:rsid w:val="00571DB7"/>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D24"/>
    <w:rsid w:val="00613FA8"/>
    <w:rsid w:val="00620D68"/>
    <w:rsid w:val="00625C50"/>
    <w:rsid w:val="006261C0"/>
    <w:rsid w:val="0062755D"/>
    <w:rsid w:val="00632250"/>
    <w:rsid w:val="00634832"/>
    <w:rsid w:val="00635413"/>
    <w:rsid w:val="00636D64"/>
    <w:rsid w:val="00637EE8"/>
    <w:rsid w:val="00640512"/>
    <w:rsid w:val="0064057F"/>
    <w:rsid w:val="0064143C"/>
    <w:rsid w:val="00645B63"/>
    <w:rsid w:val="006513DD"/>
    <w:rsid w:val="00655347"/>
    <w:rsid w:val="006613C4"/>
    <w:rsid w:val="00666E4A"/>
    <w:rsid w:val="00666F54"/>
    <w:rsid w:val="006676CA"/>
    <w:rsid w:val="006710C3"/>
    <w:rsid w:val="00674784"/>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71FAE"/>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0580"/>
    <w:rsid w:val="007D1D95"/>
    <w:rsid w:val="007D42ED"/>
    <w:rsid w:val="007E24CA"/>
    <w:rsid w:val="007E2608"/>
    <w:rsid w:val="007E5564"/>
    <w:rsid w:val="007F1253"/>
    <w:rsid w:val="007F7938"/>
    <w:rsid w:val="007F7C28"/>
    <w:rsid w:val="007F7F97"/>
    <w:rsid w:val="00802FC4"/>
    <w:rsid w:val="00804B57"/>
    <w:rsid w:val="00806059"/>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85725"/>
    <w:rsid w:val="0088656B"/>
    <w:rsid w:val="00892D21"/>
    <w:rsid w:val="00892FF7"/>
    <w:rsid w:val="008942F1"/>
    <w:rsid w:val="008A4768"/>
    <w:rsid w:val="008A636D"/>
    <w:rsid w:val="008B0EC2"/>
    <w:rsid w:val="008B1575"/>
    <w:rsid w:val="008B3426"/>
    <w:rsid w:val="008B3490"/>
    <w:rsid w:val="008B47EA"/>
    <w:rsid w:val="008C027C"/>
    <w:rsid w:val="008C41FA"/>
    <w:rsid w:val="008D6EBF"/>
    <w:rsid w:val="008E2F41"/>
    <w:rsid w:val="00902DA1"/>
    <w:rsid w:val="0091164B"/>
    <w:rsid w:val="00912F95"/>
    <w:rsid w:val="00916516"/>
    <w:rsid w:val="0092369B"/>
    <w:rsid w:val="009251C5"/>
    <w:rsid w:val="00934959"/>
    <w:rsid w:val="00940734"/>
    <w:rsid w:val="00940F44"/>
    <w:rsid w:val="00941002"/>
    <w:rsid w:val="00947689"/>
    <w:rsid w:val="0095377B"/>
    <w:rsid w:val="0095412A"/>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97DE2"/>
    <w:rsid w:val="009A16DD"/>
    <w:rsid w:val="009A45B0"/>
    <w:rsid w:val="009A4878"/>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6E01"/>
    <w:rsid w:val="00B57556"/>
    <w:rsid w:val="00B6220E"/>
    <w:rsid w:val="00B65F05"/>
    <w:rsid w:val="00B72C47"/>
    <w:rsid w:val="00B84551"/>
    <w:rsid w:val="00B84991"/>
    <w:rsid w:val="00B86CFD"/>
    <w:rsid w:val="00B91665"/>
    <w:rsid w:val="00B92511"/>
    <w:rsid w:val="00B97019"/>
    <w:rsid w:val="00BA18BF"/>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0E27"/>
    <w:rsid w:val="00C310B9"/>
    <w:rsid w:val="00C342D5"/>
    <w:rsid w:val="00C401CD"/>
    <w:rsid w:val="00C4035A"/>
    <w:rsid w:val="00C41952"/>
    <w:rsid w:val="00C41A29"/>
    <w:rsid w:val="00C42B04"/>
    <w:rsid w:val="00C53183"/>
    <w:rsid w:val="00C55128"/>
    <w:rsid w:val="00C56DF5"/>
    <w:rsid w:val="00C570CC"/>
    <w:rsid w:val="00C60BB4"/>
    <w:rsid w:val="00C65F24"/>
    <w:rsid w:val="00C707D4"/>
    <w:rsid w:val="00C719FC"/>
    <w:rsid w:val="00C92881"/>
    <w:rsid w:val="00C96FB5"/>
    <w:rsid w:val="00C979D7"/>
    <w:rsid w:val="00CA7C34"/>
    <w:rsid w:val="00CB2437"/>
    <w:rsid w:val="00CB2EDD"/>
    <w:rsid w:val="00CC2810"/>
    <w:rsid w:val="00CC3845"/>
    <w:rsid w:val="00CC6705"/>
    <w:rsid w:val="00CD0331"/>
    <w:rsid w:val="00CD4B75"/>
    <w:rsid w:val="00CD791D"/>
    <w:rsid w:val="00CE0037"/>
    <w:rsid w:val="00CE4442"/>
    <w:rsid w:val="00CE46FB"/>
    <w:rsid w:val="00CE520C"/>
    <w:rsid w:val="00CF07B3"/>
    <w:rsid w:val="00CF18F8"/>
    <w:rsid w:val="00CF4BEC"/>
    <w:rsid w:val="00CF5761"/>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4DC0"/>
    <w:rsid w:val="00D37B73"/>
    <w:rsid w:val="00D44645"/>
    <w:rsid w:val="00D45AA0"/>
    <w:rsid w:val="00D52D31"/>
    <w:rsid w:val="00D54B74"/>
    <w:rsid w:val="00D62946"/>
    <w:rsid w:val="00D62C14"/>
    <w:rsid w:val="00D636CD"/>
    <w:rsid w:val="00D66FF2"/>
    <w:rsid w:val="00D71E39"/>
    <w:rsid w:val="00D77286"/>
    <w:rsid w:val="00D77D53"/>
    <w:rsid w:val="00D809E3"/>
    <w:rsid w:val="00D80FEA"/>
    <w:rsid w:val="00D82242"/>
    <w:rsid w:val="00D85336"/>
    <w:rsid w:val="00D86A6A"/>
    <w:rsid w:val="00D91E13"/>
    <w:rsid w:val="00D961E3"/>
    <w:rsid w:val="00D97628"/>
    <w:rsid w:val="00DA0491"/>
    <w:rsid w:val="00DA0D5E"/>
    <w:rsid w:val="00DA1E21"/>
    <w:rsid w:val="00DA284A"/>
    <w:rsid w:val="00DA35FA"/>
    <w:rsid w:val="00DA56E9"/>
    <w:rsid w:val="00DB304D"/>
    <w:rsid w:val="00DB6F51"/>
    <w:rsid w:val="00DB7EBE"/>
    <w:rsid w:val="00DC0370"/>
    <w:rsid w:val="00DC0ABE"/>
    <w:rsid w:val="00DC1D8A"/>
    <w:rsid w:val="00DC21CE"/>
    <w:rsid w:val="00DC24A7"/>
    <w:rsid w:val="00DC3601"/>
    <w:rsid w:val="00DC3CE1"/>
    <w:rsid w:val="00DC5BE7"/>
    <w:rsid w:val="00DC66BB"/>
    <w:rsid w:val="00DC72B0"/>
    <w:rsid w:val="00DD1823"/>
    <w:rsid w:val="00DE2909"/>
    <w:rsid w:val="00DE6424"/>
    <w:rsid w:val="00DE6AE8"/>
    <w:rsid w:val="00DE6CBB"/>
    <w:rsid w:val="00DF032B"/>
    <w:rsid w:val="00DF1F28"/>
    <w:rsid w:val="00DF4878"/>
    <w:rsid w:val="00DF52D4"/>
    <w:rsid w:val="00E014A0"/>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4D17"/>
    <w:rsid w:val="00E66EDC"/>
    <w:rsid w:val="00E74D52"/>
    <w:rsid w:val="00E90334"/>
    <w:rsid w:val="00EA0DB8"/>
    <w:rsid w:val="00EA141C"/>
    <w:rsid w:val="00EA1FA8"/>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27D7F"/>
    <w:rsid w:val="00F33797"/>
    <w:rsid w:val="00F41853"/>
    <w:rsid w:val="00F43EC5"/>
    <w:rsid w:val="00F521A3"/>
    <w:rsid w:val="00F52A10"/>
    <w:rsid w:val="00F630C6"/>
    <w:rsid w:val="00F66463"/>
    <w:rsid w:val="00F80F7B"/>
    <w:rsid w:val="00F85CC5"/>
    <w:rsid w:val="00FA51CA"/>
    <w:rsid w:val="00FA7259"/>
    <w:rsid w:val="00FA726D"/>
    <w:rsid w:val="00FA7381"/>
    <w:rsid w:val="00FA7B26"/>
    <w:rsid w:val="00FB1AFD"/>
    <w:rsid w:val="00FB60BC"/>
    <w:rsid w:val="00FC0EA9"/>
    <w:rsid w:val="00FC350B"/>
    <w:rsid w:val="00FC4A80"/>
    <w:rsid w:val="00FC697E"/>
    <w:rsid w:val="00FC7E16"/>
    <w:rsid w:val="00FD0B7E"/>
    <w:rsid w:val="00FD2962"/>
    <w:rsid w:val="00FD2DBF"/>
    <w:rsid w:val="00FD389D"/>
    <w:rsid w:val="00FD41F1"/>
    <w:rsid w:val="00FD4655"/>
    <w:rsid w:val="00FD6D10"/>
    <w:rsid w:val="00FD72DE"/>
    <w:rsid w:val="00FE13F6"/>
    <w:rsid w:val="00FE2DE4"/>
    <w:rsid w:val="00FE3DB0"/>
    <w:rsid w:val="00FE744B"/>
    <w:rsid w:val="00FF192A"/>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austlii.edu.au/au/legis/vic/consol_act/caa2011219/s2.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ustlii.edu.au/au/legis/vic/consol_act/caa2011219/s2.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tlii.edu.au/au/legis/vic/consol_act/caa2011219/s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lii.edu.au/au/legis/vic/consol_act/caa2011219/s2.html" TargetMode="External"/><Relationship Id="rId20" Type="http://schemas.openxmlformats.org/officeDocument/2006/relationships/hyperlink" Target="http://www.austlii.edu.au/au/legis/vic/consol_act/caa2011219/s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ustlii.edu.au/au/legis/vic/consol_act/caa2011219/s2.html" TargetMode="External"/><Relationship Id="rId23" Type="http://schemas.openxmlformats.org/officeDocument/2006/relationships/hyperlink" Target="http://www.supremecourt.vic.gov.au/home/law+and+practice/areas+of+the+court/commercial+court/" TargetMode="External"/><Relationship Id="rId10" Type="http://schemas.openxmlformats.org/officeDocument/2006/relationships/webSettings" Target="webSettings.xml"/><Relationship Id="rId19" Type="http://schemas.openxmlformats.org/officeDocument/2006/relationships/hyperlink" Target="http://www.austlii.edu.au/au/legis/vic/consol_act/caa2011219/s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lii.edu.au/au/legis/vic/consol_act/caa2011219/s2.html" TargetMode="External"/><Relationship Id="rId22" Type="http://schemas.openxmlformats.org/officeDocument/2006/relationships/hyperlink" Target="mailto:croftj.associate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0B01CC95-DE1E-48C0-9F31-93191291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F53C5FFA-8516-4FEC-A1E4-38241312D51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3d35400e-913e-4289-a6bb-c9c808f4167f"/>
    <ds:schemaRef ds:uri="http://www.w3.org/XML/1998/namespace"/>
  </ds:schemaRefs>
</ds:datastoreItem>
</file>

<file path=customXml/itemProps5.xml><?xml version="1.0" encoding="utf-8"?>
<ds:datastoreItem xmlns:ds="http://schemas.openxmlformats.org/officeDocument/2006/customXml" ds:itemID="{068214A0-0945-4A48-862D-A679C42B8E53}">
  <ds:schemaRefs>
    <ds:schemaRef ds:uri="http://schemas.openxmlformats.org/officeDocument/2006/bibliography"/>
  </ds:schemaRefs>
</ds:datastoreItem>
</file>

<file path=customXml/itemProps6.xml><?xml version="1.0" encoding="utf-8"?>
<ds:datastoreItem xmlns:ds="http://schemas.openxmlformats.org/officeDocument/2006/customXml" ds:itemID="{CBECF2C0-BE39-423D-AC20-D74E1591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2407</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67</cp:revision>
  <cp:lastPrinted>2015-02-18T22:34:00Z</cp:lastPrinted>
  <dcterms:created xsi:type="dcterms:W3CDTF">2016-04-20T04:03:00Z</dcterms:created>
  <dcterms:modified xsi:type="dcterms:W3CDTF">2017-02-01T05:17:00Z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