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DEC92" w14:textId="2596B3BD" w:rsidR="00631CBD" w:rsidRDefault="00A15582" w:rsidP="00631CBD">
      <w:pPr>
        <w:pStyle w:val="TOC1"/>
      </w:pPr>
      <w:r>
        <w:rPr>
          <w:noProof/>
        </w:rPr>
        <w:drawing>
          <wp:anchor distT="0" distB="0" distL="114300" distR="114300" simplePos="0" relativeHeight="251658240" behindDoc="0" locked="0" layoutInCell="1" allowOverlap="1" wp14:anchorId="4DCA374A" wp14:editId="1F875363">
            <wp:simplePos x="0" y="0"/>
            <wp:positionH relativeFrom="column">
              <wp:posOffset>1897380</wp:posOffset>
            </wp:positionH>
            <wp:positionV relativeFrom="paragraph">
              <wp:posOffset>-668655</wp:posOffset>
            </wp:positionV>
            <wp:extent cx="1419225" cy="1266825"/>
            <wp:effectExtent l="0" t="0" r="0" b="0"/>
            <wp:wrapNone/>
            <wp:docPr id="2" name="Picture 2"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V_Red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95DED" w14:textId="77777777" w:rsidR="00631CBD" w:rsidRDefault="00631CBD" w:rsidP="00631CBD">
      <w:pPr>
        <w:pStyle w:val="TOC1"/>
      </w:pPr>
    </w:p>
    <w:p w14:paraId="42D5327A" w14:textId="77777777" w:rsidR="00631CBD" w:rsidRDefault="00631CBD" w:rsidP="00631CBD">
      <w:pPr>
        <w:pStyle w:val="TOC1"/>
      </w:pPr>
    </w:p>
    <w:p w14:paraId="07FE42F2" w14:textId="77777777" w:rsidR="004E0987" w:rsidRPr="00631CBD" w:rsidRDefault="004E0987" w:rsidP="00631CBD">
      <w:pPr>
        <w:pStyle w:val="TOC1"/>
      </w:pPr>
      <w:r w:rsidRPr="00631CBD">
        <w:t>In charity we t</w:t>
      </w:r>
      <w:r w:rsidR="00037C77" w:rsidRPr="00631CBD">
        <w:t>rust:</w:t>
      </w:r>
      <w:r w:rsidR="00631CBD" w:rsidRPr="00631CBD">
        <w:t xml:space="preserve"> </w:t>
      </w:r>
      <w:r w:rsidRPr="00631CBD">
        <w:t xml:space="preserve">Charities as </w:t>
      </w:r>
      <w:r w:rsidR="00E27865" w:rsidRPr="00631CBD">
        <w:t>potential</w:t>
      </w:r>
      <w:r w:rsidRPr="00631CBD">
        <w:t xml:space="preserve"> beneficiaries of failed commercial trusts</w:t>
      </w:r>
      <w:r w:rsidR="009D5BF3" w:rsidRPr="00631CBD">
        <w:rPr>
          <w:rStyle w:val="FootnoteReference"/>
          <w:b w:val="0"/>
          <w:bCs w:val="0"/>
          <w:i w:val="0"/>
          <w:iCs w:val="0"/>
        </w:rPr>
        <w:footnoteReference w:customMarkFollows="1" w:id="1"/>
        <w:t>*</w:t>
      </w:r>
    </w:p>
    <w:p w14:paraId="405B0279" w14:textId="77777777" w:rsidR="004E0987" w:rsidRDefault="004E0987" w:rsidP="004E0987">
      <w:pPr>
        <w:autoSpaceDE w:val="0"/>
        <w:autoSpaceDN w:val="0"/>
        <w:adjustRightInd w:val="0"/>
        <w:jc w:val="center"/>
        <w:rPr>
          <w:rFonts w:ascii="Arial" w:hAnsi="Arial" w:cs="Arial"/>
          <w:b/>
          <w:bCs/>
          <w:sz w:val="22"/>
          <w:szCs w:val="22"/>
        </w:rPr>
      </w:pPr>
      <w:r w:rsidRPr="00631CBD">
        <w:rPr>
          <w:rFonts w:ascii="Arial" w:hAnsi="Arial" w:cs="Arial"/>
          <w:b/>
          <w:bCs/>
          <w:sz w:val="22"/>
          <w:szCs w:val="22"/>
        </w:rPr>
        <w:t>The Hon. Justice Clyde Croft</w:t>
      </w:r>
      <w:r w:rsidR="00886993" w:rsidRPr="00631CBD">
        <w:rPr>
          <w:rStyle w:val="FootnoteReference"/>
          <w:rFonts w:ascii="Arial" w:hAnsi="Arial" w:cs="Arial"/>
          <w:b/>
          <w:bCs/>
          <w:sz w:val="22"/>
          <w:szCs w:val="22"/>
        </w:rPr>
        <w:footnoteReference w:id="2"/>
      </w:r>
    </w:p>
    <w:p w14:paraId="7E7ABD83" w14:textId="77777777" w:rsidR="00631CBD" w:rsidRDefault="00631CBD" w:rsidP="004E0987">
      <w:pPr>
        <w:autoSpaceDE w:val="0"/>
        <w:autoSpaceDN w:val="0"/>
        <w:adjustRightInd w:val="0"/>
        <w:jc w:val="center"/>
        <w:rPr>
          <w:rFonts w:ascii="Arial" w:hAnsi="Arial" w:cs="Arial"/>
          <w:b/>
          <w:bCs/>
          <w:sz w:val="22"/>
          <w:szCs w:val="22"/>
        </w:rPr>
      </w:pPr>
    </w:p>
    <w:p w14:paraId="45C53776" w14:textId="77777777" w:rsidR="00631CBD" w:rsidRDefault="00631CBD" w:rsidP="004E0987">
      <w:pPr>
        <w:autoSpaceDE w:val="0"/>
        <w:autoSpaceDN w:val="0"/>
        <w:adjustRightInd w:val="0"/>
        <w:jc w:val="center"/>
        <w:rPr>
          <w:rFonts w:ascii="Arial" w:hAnsi="Arial" w:cs="Arial"/>
          <w:sz w:val="22"/>
          <w:szCs w:val="22"/>
        </w:rPr>
      </w:pPr>
      <w:r w:rsidRPr="00631CBD">
        <w:rPr>
          <w:rFonts w:ascii="Arial" w:hAnsi="Arial" w:cs="Arial"/>
          <w:sz w:val="22"/>
          <w:szCs w:val="22"/>
        </w:rPr>
        <w:t>A paper presented at the Trusts Symposium hosted by the Adelaide branch of the Society of Trust and Estate Practitioners and  the Law Society of South Australia</w:t>
      </w:r>
      <w:r>
        <w:rPr>
          <w:rFonts w:ascii="Arial" w:hAnsi="Arial" w:cs="Arial"/>
          <w:sz w:val="22"/>
          <w:szCs w:val="22"/>
        </w:rPr>
        <w:t>.</w:t>
      </w:r>
    </w:p>
    <w:p w14:paraId="39ED80DC" w14:textId="77777777" w:rsidR="00631CBD" w:rsidRDefault="00631CBD" w:rsidP="004E0987">
      <w:pPr>
        <w:autoSpaceDE w:val="0"/>
        <w:autoSpaceDN w:val="0"/>
        <w:adjustRightInd w:val="0"/>
        <w:jc w:val="center"/>
        <w:rPr>
          <w:rFonts w:ascii="Arial" w:hAnsi="Arial" w:cs="Arial"/>
          <w:sz w:val="22"/>
          <w:szCs w:val="22"/>
        </w:rPr>
      </w:pPr>
    </w:p>
    <w:p w14:paraId="67754D57" w14:textId="77777777" w:rsidR="00631CBD" w:rsidRPr="00631CBD" w:rsidRDefault="00631CBD" w:rsidP="004E0987">
      <w:pPr>
        <w:autoSpaceDE w:val="0"/>
        <w:autoSpaceDN w:val="0"/>
        <w:adjustRightInd w:val="0"/>
        <w:jc w:val="center"/>
        <w:rPr>
          <w:rFonts w:ascii="Arial" w:hAnsi="Arial" w:cs="Arial"/>
          <w:b/>
          <w:bCs/>
          <w:sz w:val="22"/>
          <w:szCs w:val="22"/>
        </w:rPr>
      </w:pPr>
      <w:r>
        <w:rPr>
          <w:rFonts w:ascii="Arial" w:hAnsi="Arial" w:cs="Arial"/>
          <w:sz w:val="22"/>
          <w:szCs w:val="22"/>
        </w:rPr>
        <w:t xml:space="preserve">Friday </w:t>
      </w:r>
      <w:r w:rsidRPr="00631CBD">
        <w:rPr>
          <w:rFonts w:ascii="Arial" w:hAnsi="Arial" w:cs="Arial"/>
          <w:sz w:val="22"/>
          <w:szCs w:val="22"/>
        </w:rPr>
        <w:t>18 February 2011.</w:t>
      </w:r>
    </w:p>
    <w:p w14:paraId="1A24DF25" w14:textId="77777777" w:rsidR="004E0987" w:rsidRPr="004E0987" w:rsidRDefault="004E0987" w:rsidP="004E0987"/>
    <w:p w14:paraId="13914E6F" w14:textId="77777777" w:rsidR="000F7843" w:rsidRPr="00631CBD" w:rsidRDefault="004E0987" w:rsidP="008F635C">
      <w:pPr>
        <w:pStyle w:val="TOC2"/>
        <w:tabs>
          <w:tab w:val="left" w:pos="2192"/>
        </w:tabs>
        <w:ind w:left="0"/>
        <w:rPr>
          <w:rFonts w:ascii="Arial" w:hAnsi="Arial" w:cs="Arial"/>
          <w:noProof/>
          <w:sz w:val="22"/>
          <w:szCs w:val="22"/>
        </w:rPr>
      </w:pPr>
      <w:r w:rsidRPr="004E0987">
        <w:br w:type="page"/>
      </w:r>
      <w:r w:rsidR="00B63C91" w:rsidRPr="00631CBD">
        <w:rPr>
          <w:rFonts w:ascii="Arial" w:hAnsi="Arial" w:cs="Arial"/>
          <w:b/>
          <w:sz w:val="22"/>
          <w:szCs w:val="22"/>
        </w:rPr>
        <w:lastRenderedPageBreak/>
        <w:fldChar w:fldCharType="begin"/>
      </w:r>
      <w:r w:rsidR="00B63C91" w:rsidRPr="00631CBD">
        <w:rPr>
          <w:rFonts w:ascii="Arial" w:hAnsi="Arial" w:cs="Arial"/>
          <w:b/>
          <w:sz w:val="22"/>
          <w:szCs w:val="22"/>
        </w:rPr>
        <w:instrText xml:space="preserve"> TOC \o "1-5" \h \z \u </w:instrText>
      </w:r>
      <w:r w:rsidR="00B63C91" w:rsidRPr="00631CBD">
        <w:rPr>
          <w:rFonts w:ascii="Arial" w:hAnsi="Arial" w:cs="Arial"/>
          <w:b/>
          <w:sz w:val="22"/>
          <w:szCs w:val="22"/>
        </w:rPr>
        <w:fldChar w:fldCharType="separate"/>
      </w:r>
    </w:p>
    <w:p w14:paraId="487AB072" w14:textId="77777777" w:rsidR="000F7843" w:rsidRPr="00631CBD" w:rsidRDefault="000F7843">
      <w:pPr>
        <w:pStyle w:val="TOC2"/>
        <w:tabs>
          <w:tab w:val="right" w:pos="8296"/>
        </w:tabs>
        <w:rPr>
          <w:rFonts w:ascii="Arial" w:hAnsi="Arial" w:cs="Arial"/>
          <w:noProof/>
          <w:sz w:val="22"/>
          <w:szCs w:val="22"/>
        </w:rPr>
      </w:pPr>
      <w:hyperlink w:anchor="_Toc285803276" w:history="1">
        <w:r w:rsidRPr="00631CBD">
          <w:rPr>
            <w:rStyle w:val="Hyperlink"/>
            <w:rFonts w:ascii="Arial" w:hAnsi="Arial" w:cs="Arial"/>
            <w:noProof/>
            <w:sz w:val="22"/>
            <w:szCs w:val="22"/>
          </w:rPr>
          <w:t>Introduction</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_Toc285803276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1</w:t>
        </w:r>
        <w:r w:rsidRPr="00631CBD">
          <w:rPr>
            <w:rFonts w:ascii="Arial" w:hAnsi="Arial" w:cs="Arial"/>
            <w:noProof/>
            <w:webHidden/>
            <w:sz w:val="22"/>
            <w:szCs w:val="22"/>
          </w:rPr>
          <w:fldChar w:fldCharType="end"/>
        </w:r>
      </w:hyperlink>
    </w:p>
    <w:p w14:paraId="25CFE121" w14:textId="77777777" w:rsidR="000F7843" w:rsidRPr="00631CBD" w:rsidRDefault="000F7843">
      <w:pPr>
        <w:pStyle w:val="TOC2"/>
        <w:tabs>
          <w:tab w:val="right" w:pos="8296"/>
        </w:tabs>
        <w:rPr>
          <w:rFonts w:ascii="Arial" w:hAnsi="Arial" w:cs="Arial"/>
          <w:noProof/>
          <w:sz w:val="22"/>
          <w:szCs w:val="22"/>
        </w:rPr>
      </w:pPr>
      <w:hyperlink w:anchor="_Toc285803277" w:history="1">
        <w:r w:rsidRPr="00631CBD">
          <w:rPr>
            <w:rStyle w:val="Hyperlink"/>
            <w:rFonts w:ascii="Arial" w:hAnsi="Arial" w:cs="Arial"/>
            <w:noProof/>
            <w:sz w:val="22"/>
            <w:szCs w:val="22"/>
          </w:rPr>
          <w:t>Construing the trust instrument</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_Toc285803277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4</w:t>
        </w:r>
        <w:r w:rsidRPr="00631CBD">
          <w:rPr>
            <w:rFonts w:ascii="Arial" w:hAnsi="Arial" w:cs="Arial"/>
            <w:noProof/>
            <w:webHidden/>
            <w:sz w:val="22"/>
            <w:szCs w:val="22"/>
          </w:rPr>
          <w:fldChar w:fldCharType="end"/>
        </w:r>
      </w:hyperlink>
    </w:p>
    <w:p w14:paraId="32FC6F0E" w14:textId="77777777" w:rsidR="000F7843" w:rsidRPr="00631CBD" w:rsidRDefault="000F7843">
      <w:pPr>
        <w:pStyle w:val="TOC2"/>
        <w:tabs>
          <w:tab w:val="right" w:pos="8296"/>
        </w:tabs>
        <w:rPr>
          <w:rFonts w:ascii="Arial" w:hAnsi="Arial" w:cs="Arial"/>
          <w:noProof/>
          <w:sz w:val="22"/>
          <w:szCs w:val="22"/>
        </w:rPr>
      </w:pPr>
      <w:hyperlink w:anchor="_Toc285803278" w:history="1">
        <w:r w:rsidRPr="00631CBD">
          <w:rPr>
            <w:rStyle w:val="Hyperlink"/>
            <w:rFonts w:ascii="Arial" w:hAnsi="Arial" w:cs="Arial"/>
            <w:noProof/>
            <w:sz w:val="22"/>
            <w:szCs w:val="22"/>
          </w:rPr>
          <w:t>Employee incentive plans</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_Toc285803278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6</w:t>
        </w:r>
        <w:r w:rsidRPr="00631CBD">
          <w:rPr>
            <w:rFonts w:ascii="Arial" w:hAnsi="Arial" w:cs="Arial"/>
            <w:noProof/>
            <w:webHidden/>
            <w:sz w:val="22"/>
            <w:szCs w:val="22"/>
          </w:rPr>
          <w:fldChar w:fldCharType="end"/>
        </w:r>
      </w:hyperlink>
    </w:p>
    <w:p w14:paraId="193D2B2E" w14:textId="77777777" w:rsidR="000F7843" w:rsidRPr="00631CBD" w:rsidRDefault="000F7843">
      <w:pPr>
        <w:pStyle w:val="TOC2"/>
        <w:tabs>
          <w:tab w:val="right" w:pos="8296"/>
        </w:tabs>
        <w:rPr>
          <w:rFonts w:ascii="Arial" w:hAnsi="Arial" w:cs="Arial"/>
          <w:noProof/>
          <w:sz w:val="22"/>
          <w:szCs w:val="22"/>
        </w:rPr>
      </w:pPr>
      <w:hyperlink w:anchor="_Toc285803279" w:history="1">
        <w:r w:rsidRPr="00631CBD">
          <w:rPr>
            <w:rStyle w:val="Hyperlink"/>
            <w:rFonts w:ascii="Arial" w:hAnsi="Arial" w:cs="Arial"/>
            <w:noProof/>
            <w:sz w:val="22"/>
            <w:szCs w:val="22"/>
          </w:rPr>
          <w:t>Has the commercial purpose of the trust failed?</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_Toc285803279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7</w:t>
        </w:r>
        <w:r w:rsidRPr="00631CBD">
          <w:rPr>
            <w:rFonts w:ascii="Arial" w:hAnsi="Arial" w:cs="Arial"/>
            <w:noProof/>
            <w:webHidden/>
            <w:sz w:val="22"/>
            <w:szCs w:val="22"/>
          </w:rPr>
          <w:fldChar w:fldCharType="end"/>
        </w:r>
      </w:hyperlink>
    </w:p>
    <w:p w14:paraId="5AAE34F0" w14:textId="77777777" w:rsidR="000F7843" w:rsidRPr="00631CBD" w:rsidRDefault="000F7843">
      <w:pPr>
        <w:pStyle w:val="TOC3"/>
        <w:tabs>
          <w:tab w:val="right" w:pos="8296"/>
        </w:tabs>
        <w:rPr>
          <w:rFonts w:ascii="Arial" w:hAnsi="Arial" w:cs="Arial"/>
          <w:noProof/>
          <w:sz w:val="22"/>
          <w:szCs w:val="22"/>
        </w:rPr>
      </w:pPr>
      <w:hyperlink w:anchor="_Toc285803280" w:history="1">
        <w:r w:rsidRPr="00631CBD">
          <w:rPr>
            <w:rStyle w:val="Hyperlink"/>
            <w:rFonts w:ascii="Arial" w:hAnsi="Arial" w:cs="Arial"/>
            <w:noProof/>
            <w:sz w:val="22"/>
            <w:szCs w:val="22"/>
          </w:rPr>
          <w:t>Settlor’s intention: the presumption of resulting trust</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_Toc285803280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8</w:t>
        </w:r>
        <w:r w:rsidRPr="00631CBD">
          <w:rPr>
            <w:rFonts w:ascii="Arial" w:hAnsi="Arial" w:cs="Arial"/>
            <w:noProof/>
            <w:webHidden/>
            <w:sz w:val="22"/>
            <w:szCs w:val="22"/>
          </w:rPr>
          <w:fldChar w:fldCharType="end"/>
        </w:r>
      </w:hyperlink>
    </w:p>
    <w:p w14:paraId="6831C1FD" w14:textId="77777777" w:rsidR="000F7843" w:rsidRPr="00631CBD" w:rsidRDefault="000F7843">
      <w:pPr>
        <w:pStyle w:val="TOC2"/>
        <w:tabs>
          <w:tab w:val="right" w:pos="8296"/>
        </w:tabs>
        <w:rPr>
          <w:rFonts w:ascii="Arial" w:hAnsi="Arial" w:cs="Arial"/>
          <w:noProof/>
          <w:sz w:val="22"/>
          <w:szCs w:val="22"/>
        </w:rPr>
      </w:pPr>
      <w:hyperlink w:anchor="_Toc285803281" w:history="1">
        <w:r w:rsidRPr="00631CBD">
          <w:rPr>
            <w:rStyle w:val="Hyperlink"/>
            <w:rFonts w:ascii="Arial" w:hAnsi="Arial" w:cs="Arial"/>
            <w:noProof/>
            <w:sz w:val="22"/>
            <w:szCs w:val="22"/>
          </w:rPr>
          <w:t>Has provision for failure been made?</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_Toc285803281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10</w:t>
        </w:r>
        <w:r w:rsidRPr="00631CBD">
          <w:rPr>
            <w:rFonts w:ascii="Arial" w:hAnsi="Arial" w:cs="Arial"/>
            <w:noProof/>
            <w:webHidden/>
            <w:sz w:val="22"/>
            <w:szCs w:val="22"/>
          </w:rPr>
          <w:fldChar w:fldCharType="end"/>
        </w:r>
      </w:hyperlink>
    </w:p>
    <w:p w14:paraId="57EBE8D7" w14:textId="77777777" w:rsidR="000F7843" w:rsidRPr="00631CBD" w:rsidRDefault="000F7843">
      <w:pPr>
        <w:pStyle w:val="TOC3"/>
        <w:tabs>
          <w:tab w:val="right" w:pos="8296"/>
        </w:tabs>
        <w:rPr>
          <w:rFonts w:ascii="Arial" w:hAnsi="Arial" w:cs="Arial"/>
          <w:noProof/>
          <w:sz w:val="22"/>
          <w:szCs w:val="22"/>
        </w:rPr>
      </w:pPr>
      <w:hyperlink w:anchor="_Toc285803282" w:history="1">
        <w:r w:rsidRPr="00631CBD">
          <w:rPr>
            <w:rStyle w:val="Hyperlink"/>
            <w:rFonts w:ascii="Arial" w:hAnsi="Arial" w:cs="Arial"/>
            <w:noProof/>
            <w:sz w:val="22"/>
            <w:szCs w:val="22"/>
          </w:rPr>
          <w:t>Gift to charity takes effect according to the terms of the trust</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_Toc285803282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11</w:t>
        </w:r>
        <w:r w:rsidRPr="00631CBD">
          <w:rPr>
            <w:rFonts w:ascii="Arial" w:hAnsi="Arial" w:cs="Arial"/>
            <w:noProof/>
            <w:webHidden/>
            <w:sz w:val="22"/>
            <w:szCs w:val="22"/>
          </w:rPr>
          <w:fldChar w:fldCharType="end"/>
        </w:r>
      </w:hyperlink>
    </w:p>
    <w:p w14:paraId="10506975" w14:textId="77777777" w:rsidR="000F7843" w:rsidRPr="00631CBD" w:rsidRDefault="000F7843">
      <w:pPr>
        <w:pStyle w:val="TOC3"/>
        <w:tabs>
          <w:tab w:val="right" w:pos="8296"/>
        </w:tabs>
        <w:rPr>
          <w:rFonts w:ascii="Arial" w:hAnsi="Arial" w:cs="Arial"/>
          <w:noProof/>
          <w:sz w:val="22"/>
          <w:szCs w:val="22"/>
        </w:rPr>
      </w:pPr>
      <w:hyperlink w:anchor="_Toc285803283" w:history="1">
        <w:r w:rsidRPr="00631CBD">
          <w:rPr>
            <w:rStyle w:val="Hyperlink"/>
            <w:rFonts w:ascii="Arial" w:hAnsi="Arial" w:cs="Arial"/>
            <w:noProof/>
            <w:sz w:val="22"/>
            <w:szCs w:val="22"/>
          </w:rPr>
          <w:t>Gift to charity, but administrative machinery of the trust has failed</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_Toc285803283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13</w:t>
        </w:r>
        <w:r w:rsidRPr="00631CBD">
          <w:rPr>
            <w:rFonts w:ascii="Arial" w:hAnsi="Arial" w:cs="Arial"/>
            <w:noProof/>
            <w:webHidden/>
            <w:sz w:val="22"/>
            <w:szCs w:val="22"/>
          </w:rPr>
          <w:fldChar w:fldCharType="end"/>
        </w:r>
      </w:hyperlink>
    </w:p>
    <w:p w14:paraId="77EA6FD0" w14:textId="77777777" w:rsidR="000F7843" w:rsidRPr="00631CBD" w:rsidRDefault="000F7843">
      <w:pPr>
        <w:pStyle w:val="TOC4"/>
        <w:tabs>
          <w:tab w:val="right" w:pos="8296"/>
        </w:tabs>
        <w:rPr>
          <w:rFonts w:ascii="Arial" w:hAnsi="Arial" w:cs="Arial"/>
          <w:noProof/>
          <w:sz w:val="22"/>
          <w:szCs w:val="22"/>
        </w:rPr>
      </w:pPr>
      <w:hyperlink w:anchor="_Toc285803284" w:history="1">
        <w:r w:rsidRPr="00631CBD">
          <w:rPr>
            <w:rStyle w:val="Hyperlink"/>
            <w:rFonts w:ascii="Arial" w:hAnsi="Arial" w:cs="Arial"/>
            <w:b/>
            <w:i/>
            <w:noProof/>
            <w:sz w:val="22"/>
            <w:szCs w:val="22"/>
          </w:rPr>
          <w:t>Where the nominating entity cannot act</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_Toc285803284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13</w:t>
        </w:r>
        <w:r w:rsidRPr="00631CBD">
          <w:rPr>
            <w:rFonts w:ascii="Arial" w:hAnsi="Arial" w:cs="Arial"/>
            <w:noProof/>
            <w:webHidden/>
            <w:sz w:val="22"/>
            <w:szCs w:val="22"/>
          </w:rPr>
          <w:fldChar w:fldCharType="end"/>
        </w:r>
      </w:hyperlink>
    </w:p>
    <w:p w14:paraId="77D0753F" w14:textId="77777777" w:rsidR="000F7843" w:rsidRPr="00631CBD" w:rsidRDefault="000F7843">
      <w:pPr>
        <w:pStyle w:val="TOC4"/>
        <w:tabs>
          <w:tab w:val="right" w:pos="8296"/>
        </w:tabs>
        <w:rPr>
          <w:rFonts w:ascii="Arial" w:hAnsi="Arial" w:cs="Arial"/>
          <w:noProof/>
          <w:sz w:val="22"/>
          <w:szCs w:val="22"/>
        </w:rPr>
      </w:pPr>
      <w:hyperlink w:anchor="_Toc285803285" w:history="1">
        <w:r w:rsidRPr="00631CBD">
          <w:rPr>
            <w:rStyle w:val="Hyperlink"/>
            <w:rFonts w:ascii="Arial" w:hAnsi="Arial" w:cs="Arial"/>
            <w:b/>
            <w:i/>
            <w:noProof/>
            <w:sz w:val="22"/>
            <w:szCs w:val="22"/>
          </w:rPr>
          <w:t>The impact of liquidation</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_Toc285803285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14</w:t>
        </w:r>
        <w:r w:rsidRPr="00631CBD">
          <w:rPr>
            <w:rFonts w:ascii="Arial" w:hAnsi="Arial" w:cs="Arial"/>
            <w:noProof/>
            <w:webHidden/>
            <w:sz w:val="22"/>
            <w:szCs w:val="22"/>
          </w:rPr>
          <w:fldChar w:fldCharType="end"/>
        </w:r>
      </w:hyperlink>
    </w:p>
    <w:p w14:paraId="132EE74D" w14:textId="77777777" w:rsidR="000F7843" w:rsidRPr="00631CBD" w:rsidRDefault="000F7843">
      <w:pPr>
        <w:pStyle w:val="TOC2"/>
        <w:tabs>
          <w:tab w:val="right" w:pos="8296"/>
        </w:tabs>
        <w:rPr>
          <w:rFonts w:ascii="Arial" w:hAnsi="Arial" w:cs="Arial"/>
          <w:noProof/>
          <w:sz w:val="22"/>
          <w:szCs w:val="22"/>
        </w:rPr>
      </w:pPr>
      <w:hyperlink w:anchor="_Toc285803286" w:history="1">
        <w:r w:rsidRPr="00631CBD">
          <w:rPr>
            <w:rStyle w:val="Hyperlink"/>
            <w:rFonts w:ascii="Arial" w:hAnsi="Arial" w:cs="Arial"/>
            <w:noProof/>
            <w:sz w:val="22"/>
            <w:szCs w:val="22"/>
          </w:rPr>
          <w:t>Variation of trust deeds or instruments</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_Toc285803286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17</w:t>
        </w:r>
        <w:r w:rsidRPr="00631CBD">
          <w:rPr>
            <w:rFonts w:ascii="Arial" w:hAnsi="Arial" w:cs="Arial"/>
            <w:noProof/>
            <w:webHidden/>
            <w:sz w:val="22"/>
            <w:szCs w:val="22"/>
          </w:rPr>
          <w:fldChar w:fldCharType="end"/>
        </w:r>
      </w:hyperlink>
    </w:p>
    <w:p w14:paraId="096C40BB" w14:textId="77777777" w:rsidR="000F7843" w:rsidRPr="00631CBD" w:rsidRDefault="000F7843">
      <w:pPr>
        <w:pStyle w:val="TOC3"/>
        <w:tabs>
          <w:tab w:val="right" w:pos="8296"/>
        </w:tabs>
        <w:rPr>
          <w:rFonts w:ascii="Arial" w:hAnsi="Arial" w:cs="Arial"/>
          <w:noProof/>
          <w:sz w:val="22"/>
          <w:szCs w:val="22"/>
        </w:rPr>
      </w:pPr>
      <w:hyperlink w:anchor="_Toc285803287" w:history="1">
        <w:r w:rsidRPr="00631CBD">
          <w:rPr>
            <w:rStyle w:val="Hyperlink"/>
            <w:rFonts w:ascii="Arial" w:hAnsi="Arial" w:cs="Arial"/>
            <w:noProof/>
            <w:sz w:val="22"/>
            <w:szCs w:val="22"/>
          </w:rPr>
          <w:t>No gift to charity capable of implementation</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_Toc285803287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24</w:t>
        </w:r>
        <w:r w:rsidRPr="00631CBD">
          <w:rPr>
            <w:rFonts w:ascii="Arial" w:hAnsi="Arial" w:cs="Arial"/>
            <w:noProof/>
            <w:webHidden/>
            <w:sz w:val="22"/>
            <w:szCs w:val="22"/>
          </w:rPr>
          <w:fldChar w:fldCharType="end"/>
        </w:r>
      </w:hyperlink>
    </w:p>
    <w:p w14:paraId="18FBEB8D" w14:textId="77777777" w:rsidR="000F7843" w:rsidRPr="00631CBD" w:rsidRDefault="000F7843">
      <w:pPr>
        <w:pStyle w:val="TOC2"/>
        <w:tabs>
          <w:tab w:val="right" w:pos="8296"/>
        </w:tabs>
        <w:rPr>
          <w:rFonts w:ascii="Arial" w:hAnsi="Arial" w:cs="Arial"/>
          <w:noProof/>
          <w:sz w:val="22"/>
          <w:szCs w:val="22"/>
        </w:rPr>
      </w:pPr>
      <w:hyperlink w:anchor="_Toc285803288" w:history="1">
        <w:r w:rsidRPr="00631CBD">
          <w:rPr>
            <w:rStyle w:val="Hyperlink"/>
            <w:rFonts w:ascii="Arial" w:hAnsi="Arial" w:cs="Arial"/>
            <w:noProof/>
            <w:sz w:val="22"/>
            <w:szCs w:val="22"/>
          </w:rPr>
          <w:t>General schemes</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_Toc285803288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25</w:t>
        </w:r>
        <w:r w:rsidRPr="00631CBD">
          <w:rPr>
            <w:rFonts w:ascii="Arial" w:hAnsi="Arial" w:cs="Arial"/>
            <w:noProof/>
            <w:webHidden/>
            <w:sz w:val="22"/>
            <w:szCs w:val="22"/>
          </w:rPr>
          <w:fldChar w:fldCharType="end"/>
        </w:r>
      </w:hyperlink>
    </w:p>
    <w:p w14:paraId="13883ABF" w14:textId="77777777" w:rsidR="000F7843" w:rsidRPr="00631CBD" w:rsidRDefault="000F7843">
      <w:pPr>
        <w:pStyle w:val="TOC2"/>
        <w:tabs>
          <w:tab w:val="right" w:pos="8296"/>
        </w:tabs>
        <w:rPr>
          <w:rFonts w:ascii="Arial" w:hAnsi="Arial" w:cs="Arial"/>
          <w:noProof/>
          <w:sz w:val="22"/>
          <w:szCs w:val="22"/>
        </w:rPr>
      </w:pPr>
      <w:hyperlink w:anchor="_Toc285803289" w:history="1">
        <w:r w:rsidRPr="00631CBD">
          <w:rPr>
            <w:rStyle w:val="Hyperlink"/>
            <w:rFonts w:ascii="Arial" w:hAnsi="Arial" w:cs="Arial"/>
            <w:noProof/>
            <w:sz w:val="22"/>
            <w:szCs w:val="22"/>
          </w:rPr>
          <w:t>Conclusion</w:t>
        </w:r>
        <w:r w:rsidRPr="00631CBD">
          <w:rPr>
            <w:rFonts w:ascii="Arial" w:hAnsi="Arial" w:cs="Arial"/>
            <w:noProof/>
            <w:webHidden/>
            <w:sz w:val="22"/>
            <w:szCs w:val="22"/>
          </w:rPr>
          <w:tab/>
        </w:r>
        <w:r w:rsidRPr="00631CBD">
          <w:rPr>
            <w:rFonts w:ascii="Arial" w:hAnsi="Arial" w:cs="Arial"/>
            <w:noProof/>
            <w:webHidden/>
            <w:sz w:val="22"/>
            <w:szCs w:val="22"/>
          </w:rPr>
          <w:fldChar w:fldCharType="begin"/>
        </w:r>
        <w:r w:rsidRPr="00631CBD">
          <w:rPr>
            <w:rFonts w:ascii="Arial" w:hAnsi="Arial" w:cs="Arial"/>
            <w:noProof/>
            <w:webHidden/>
            <w:sz w:val="22"/>
            <w:szCs w:val="22"/>
          </w:rPr>
          <w:instrText xml:space="preserve"> PAGEREF _Toc285803289 \h </w:instrText>
        </w:r>
        <w:r w:rsidR="00320CB0" w:rsidRPr="00631CBD">
          <w:rPr>
            <w:rFonts w:ascii="Arial" w:hAnsi="Arial" w:cs="Arial"/>
            <w:noProof/>
            <w:sz w:val="22"/>
            <w:szCs w:val="22"/>
          </w:rPr>
        </w:r>
        <w:r w:rsidRPr="00631CBD">
          <w:rPr>
            <w:rFonts w:ascii="Arial" w:hAnsi="Arial" w:cs="Arial"/>
            <w:noProof/>
            <w:webHidden/>
            <w:sz w:val="22"/>
            <w:szCs w:val="22"/>
          </w:rPr>
          <w:fldChar w:fldCharType="separate"/>
        </w:r>
        <w:r w:rsidR="009B62D1">
          <w:rPr>
            <w:rFonts w:ascii="Arial" w:hAnsi="Arial" w:cs="Arial"/>
            <w:noProof/>
            <w:webHidden/>
            <w:sz w:val="22"/>
            <w:szCs w:val="22"/>
          </w:rPr>
          <w:t>31</w:t>
        </w:r>
        <w:r w:rsidRPr="00631CBD">
          <w:rPr>
            <w:rFonts w:ascii="Arial" w:hAnsi="Arial" w:cs="Arial"/>
            <w:noProof/>
            <w:webHidden/>
            <w:sz w:val="22"/>
            <w:szCs w:val="22"/>
          </w:rPr>
          <w:fldChar w:fldCharType="end"/>
        </w:r>
      </w:hyperlink>
    </w:p>
    <w:p w14:paraId="6C425F8A" w14:textId="77777777" w:rsidR="00B63C91" w:rsidRDefault="00B63C91" w:rsidP="006D7FD7">
      <w:pPr>
        <w:jc w:val="center"/>
        <w:rPr>
          <w:b/>
          <w:u w:val="single"/>
        </w:rPr>
      </w:pPr>
      <w:r w:rsidRPr="00631CBD">
        <w:rPr>
          <w:rFonts w:ascii="Arial" w:hAnsi="Arial" w:cs="Arial"/>
          <w:b/>
          <w:sz w:val="22"/>
          <w:szCs w:val="22"/>
          <w:u w:val="single"/>
        </w:rPr>
        <w:fldChar w:fldCharType="end"/>
      </w:r>
    </w:p>
    <w:p w14:paraId="49582D24" w14:textId="77777777" w:rsidR="00034C1F" w:rsidRDefault="00034C1F" w:rsidP="0012304D">
      <w:pPr>
        <w:pStyle w:val="Heading2"/>
        <w:sectPr w:rsidR="00034C1F" w:rsidSect="004E0987">
          <w:footerReference w:type="even" r:id="rId13"/>
          <w:footerReference w:type="default" r:id="rId14"/>
          <w:pgSz w:w="11906" w:h="16838"/>
          <w:pgMar w:top="1440" w:right="1800" w:bottom="1440" w:left="1800" w:header="708" w:footer="708" w:gutter="0"/>
          <w:cols w:space="708"/>
          <w:titlePg/>
          <w:docGrid w:linePitch="360"/>
        </w:sectPr>
      </w:pPr>
    </w:p>
    <w:p w14:paraId="56C8893B" w14:textId="77777777" w:rsidR="007E1DD5" w:rsidRPr="00631CBD" w:rsidRDefault="00B63C91" w:rsidP="00631CBD">
      <w:pPr>
        <w:pStyle w:val="Heading2"/>
        <w:spacing w:line="480" w:lineRule="auto"/>
        <w:rPr>
          <w:rFonts w:ascii="Arial" w:hAnsi="Arial" w:cs="Arial"/>
          <w:sz w:val="22"/>
          <w:szCs w:val="22"/>
        </w:rPr>
      </w:pPr>
      <w:r>
        <w:br w:type="page"/>
      </w:r>
      <w:bookmarkStart w:id="0" w:name="_Toc285803276"/>
      <w:r w:rsidR="007E1DD5" w:rsidRPr="00631CBD">
        <w:rPr>
          <w:rFonts w:ascii="Arial" w:hAnsi="Arial" w:cs="Arial"/>
          <w:sz w:val="22"/>
          <w:szCs w:val="22"/>
        </w:rPr>
        <w:lastRenderedPageBreak/>
        <w:t>Introduction</w:t>
      </w:r>
      <w:bookmarkEnd w:id="0"/>
    </w:p>
    <w:p w14:paraId="66457D64" w14:textId="77777777" w:rsidR="009E5D5D" w:rsidRPr="00631CBD" w:rsidRDefault="0017622E" w:rsidP="00631CBD">
      <w:pPr>
        <w:spacing w:after="360" w:line="480" w:lineRule="auto"/>
        <w:rPr>
          <w:rFonts w:ascii="Arial" w:hAnsi="Arial" w:cs="Arial"/>
          <w:sz w:val="22"/>
          <w:szCs w:val="22"/>
        </w:rPr>
      </w:pPr>
      <w:r w:rsidRPr="00631CBD">
        <w:rPr>
          <w:rFonts w:ascii="Arial" w:hAnsi="Arial" w:cs="Arial"/>
          <w:sz w:val="22"/>
          <w:szCs w:val="22"/>
        </w:rPr>
        <w:t>Commercial t</w:t>
      </w:r>
      <w:r w:rsidR="00916173" w:rsidRPr="00631CBD">
        <w:rPr>
          <w:rFonts w:ascii="Arial" w:hAnsi="Arial" w:cs="Arial"/>
          <w:sz w:val="22"/>
          <w:szCs w:val="22"/>
        </w:rPr>
        <w:t>rust instruments</w:t>
      </w:r>
      <w:r w:rsidRPr="00631CBD">
        <w:rPr>
          <w:rFonts w:ascii="Arial" w:hAnsi="Arial" w:cs="Arial"/>
          <w:sz w:val="22"/>
          <w:szCs w:val="22"/>
        </w:rPr>
        <w:t>,</w:t>
      </w:r>
      <w:r w:rsidR="009A2224" w:rsidRPr="00631CBD">
        <w:rPr>
          <w:rFonts w:ascii="Arial" w:hAnsi="Arial" w:cs="Arial"/>
          <w:sz w:val="22"/>
          <w:szCs w:val="22"/>
        </w:rPr>
        <w:t xml:space="preserve"> </w:t>
      </w:r>
      <w:r w:rsidR="003709D1" w:rsidRPr="00631CBD">
        <w:rPr>
          <w:rFonts w:ascii="Arial" w:hAnsi="Arial" w:cs="Arial"/>
          <w:sz w:val="22"/>
          <w:szCs w:val="22"/>
        </w:rPr>
        <w:t xml:space="preserve">which are not </w:t>
      </w:r>
      <w:r w:rsidR="00164496" w:rsidRPr="00631CBD">
        <w:rPr>
          <w:rFonts w:ascii="Arial" w:hAnsi="Arial" w:cs="Arial"/>
          <w:sz w:val="22"/>
          <w:szCs w:val="22"/>
        </w:rPr>
        <w:t xml:space="preserve">primarily </w:t>
      </w:r>
      <w:r w:rsidR="003709D1" w:rsidRPr="00631CBD">
        <w:rPr>
          <w:rFonts w:ascii="Arial" w:hAnsi="Arial" w:cs="Arial"/>
          <w:sz w:val="22"/>
          <w:szCs w:val="22"/>
        </w:rPr>
        <w:t>estab</w:t>
      </w:r>
      <w:r w:rsidR="00164496" w:rsidRPr="00631CBD">
        <w:rPr>
          <w:rFonts w:ascii="Arial" w:hAnsi="Arial" w:cs="Arial"/>
          <w:sz w:val="22"/>
          <w:szCs w:val="22"/>
        </w:rPr>
        <w:t>lished for charitable purposes</w:t>
      </w:r>
      <w:r w:rsidRPr="00631CBD">
        <w:rPr>
          <w:rFonts w:ascii="Arial" w:hAnsi="Arial" w:cs="Arial"/>
          <w:sz w:val="22"/>
          <w:szCs w:val="22"/>
        </w:rPr>
        <w:t>,</w:t>
      </w:r>
      <w:r w:rsidR="00916173" w:rsidRPr="00631CBD">
        <w:rPr>
          <w:rFonts w:ascii="Arial" w:hAnsi="Arial" w:cs="Arial"/>
          <w:sz w:val="22"/>
          <w:szCs w:val="22"/>
        </w:rPr>
        <w:t xml:space="preserve"> </w:t>
      </w:r>
      <w:r w:rsidR="001B1D33" w:rsidRPr="00631CBD">
        <w:rPr>
          <w:rFonts w:ascii="Arial" w:hAnsi="Arial" w:cs="Arial"/>
          <w:sz w:val="22"/>
          <w:szCs w:val="22"/>
        </w:rPr>
        <w:t>are</w:t>
      </w:r>
      <w:r w:rsidR="005247D2" w:rsidRPr="00631CBD">
        <w:rPr>
          <w:rFonts w:ascii="Arial" w:hAnsi="Arial" w:cs="Arial"/>
          <w:sz w:val="22"/>
          <w:szCs w:val="22"/>
        </w:rPr>
        <w:t xml:space="preserve"> </w:t>
      </w:r>
      <w:r w:rsidR="0085311F" w:rsidRPr="00631CBD">
        <w:rPr>
          <w:rFonts w:ascii="Arial" w:hAnsi="Arial" w:cs="Arial"/>
          <w:sz w:val="22"/>
          <w:szCs w:val="22"/>
        </w:rPr>
        <w:t>often</w:t>
      </w:r>
      <w:r w:rsidR="005247D2" w:rsidRPr="00631CBD">
        <w:rPr>
          <w:rFonts w:ascii="Arial" w:hAnsi="Arial" w:cs="Arial"/>
          <w:sz w:val="22"/>
          <w:szCs w:val="22"/>
        </w:rPr>
        <w:t xml:space="preserve"> </w:t>
      </w:r>
      <w:r w:rsidR="0085311F" w:rsidRPr="00631CBD">
        <w:rPr>
          <w:rFonts w:ascii="Arial" w:hAnsi="Arial" w:cs="Arial"/>
          <w:sz w:val="22"/>
          <w:szCs w:val="22"/>
        </w:rPr>
        <w:t xml:space="preserve">drafted </w:t>
      </w:r>
      <w:r w:rsidR="004E6E0A" w:rsidRPr="00631CBD">
        <w:rPr>
          <w:rFonts w:ascii="Arial" w:hAnsi="Arial" w:cs="Arial"/>
          <w:sz w:val="22"/>
          <w:szCs w:val="22"/>
        </w:rPr>
        <w:t>to include charities</w:t>
      </w:r>
      <w:r w:rsidR="00916173" w:rsidRPr="00631CBD">
        <w:rPr>
          <w:rFonts w:ascii="Arial" w:hAnsi="Arial" w:cs="Arial"/>
          <w:sz w:val="22"/>
          <w:szCs w:val="22"/>
        </w:rPr>
        <w:t xml:space="preserve"> amongst the </w:t>
      </w:r>
      <w:r w:rsidR="005032E3" w:rsidRPr="00631CBD">
        <w:rPr>
          <w:rFonts w:ascii="Arial" w:hAnsi="Arial" w:cs="Arial"/>
          <w:sz w:val="22"/>
          <w:szCs w:val="22"/>
        </w:rPr>
        <w:t xml:space="preserve">class of </w:t>
      </w:r>
      <w:r w:rsidR="00886993" w:rsidRPr="00631CBD">
        <w:rPr>
          <w:rFonts w:ascii="Arial" w:hAnsi="Arial" w:cs="Arial"/>
          <w:sz w:val="22"/>
          <w:szCs w:val="22"/>
        </w:rPr>
        <w:t xml:space="preserve">potential </w:t>
      </w:r>
      <w:r w:rsidR="005032E3" w:rsidRPr="00631CBD">
        <w:rPr>
          <w:rFonts w:ascii="Arial" w:hAnsi="Arial" w:cs="Arial"/>
          <w:sz w:val="22"/>
          <w:szCs w:val="22"/>
        </w:rPr>
        <w:t>beneficiaries.</w:t>
      </w:r>
      <w:r w:rsidR="003709D1" w:rsidRPr="00631CBD">
        <w:rPr>
          <w:rFonts w:ascii="Arial" w:hAnsi="Arial" w:cs="Arial"/>
          <w:sz w:val="22"/>
          <w:szCs w:val="22"/>
        </w:rPr>
        <w:t xml:space="preserve"> </w:t>
      </w:r>
      <w:r w:rsidR="00034C1F" w:rsidRPr="00631CBD">
        <w:rPr>
          <w:rFonts w:ascii="Arial" w:hAnsi="Arial" w:cs="Arial"/>
          <w:sz w:val="22"/>
          <w:szCs w:val="22"/>
        </w:rPr>
        <w:t xml:space="preserve"> </w:t>
      </w:r>
      <w:r w:rsidR="003709D1" w:rsidRPr="00631CBD">
        <w:rPr>
          <w:rFonts w:ascii="Arial" w:hAnsi="Arial" w:cs="Arial"/>
          <w:sz w:val="22"/>
          <w:szCs w:val="22"/>
        </w:rPr>
        <w:t xml:space="preserve">At first glance, this </w:t>
      </w:r>
      <w:r w:rsidR="009A2224" w:rsidRPr="00631CBD">
        <w:rPr>
          <w:rFonts w:ascii="Arial" w:hAnsi="Arial" w:cs="Arial"/>
          <w:sz w:val="22"/>
          <w:szCs w:val="22"/>
        </w:rPr>
        <w:t xml:space="preserve">may </w:t>
      </w:r>
      <w:r w:rsidR="003709D1" w:rsidRPr="00631CBD">
        <w:rPr>
          <w:rFonts w:ascii="Arial" w:hAnsi="Arial" w:cs="Arial"/>
          <w:sz w:val="22"/>
          <w:szCs w:val="22"/>
        </w:rPr>
        <w:t xml:space="preserve">seem </w:t>
      </w:r>
      <w:r w:rsidR="006E4208" w:rsidRPr="00631CBD">
        <w:rPr>
          <w:rFonts w:ascii="Arial" w:hAnsi="Arial" w:cs="Arial"/>
          <w:sz w:val="22"/>
          <w:szCs w:val="22"/>
        </w:rPr>
        <w:t>inconsis</w:t>
      </w:r>
      <w:r w:rsidR="009D40FD" w:rsidRPr="00631CBD">
        <w:rPr>
          <w:rFonts w:ascii="Arial" w:hAnsi="Arial" w:cs="Arial"/>
          <w:sz w:val="22"/>
          <w:szCs w:val="22"/>
        </w:rPr>
        <w:t>t</w:t>
      </w:r>
      <w:r w:rsidR="006E4208" w:rsidRPr="00631CBD">
        <w:rPr>
          <w:rFonts w:ascii="Arial" w:hAnsi="Arial" w:cs="Arial"/>
          <w:sz w:val="22"/>
          <w:szCs w:val="22"/>
        </w:rPr>
        <w:t>ent</w:t>
      </w:r>
      <w:r w:rsidR="009D40FD" w:rsidRPr="00631CBD">
        <w:rPr>
          <w:rFonts w:ascii="Arial" w:hAnsi="Arial" w:cs="Arial"/>
          <w:sz w:val="22"/>
          <w:szCs w:val="22"/>
        </w:rPr>
        <w:t xml:space="preserve"> with the </w:t>
      </w:r>
      <w:r w:rsidRPr="00631CBD">
        <w:rPr>
          <w:rFonts w:ascii="Arial" w:hAnsi="Arial" w:cs="Arial"/>
          <w:sz w:val="22"/>
          <w:szCs w:val="22"/>
        </w:rPr>
        <w:t xml:space="preserve">commercial </w:t>
      </w:r>
      <w:r w:rsidR="009D40FD" w:rsidRPr="00631CBD">
        <w:rPr>
          <w:rFonts w:ascii="Arial" w:hAnsi="Arial" w:cs="Arial"/>
          <w:sz w:val="22"/>
          <w:szCs w:val="22"/>
        </w:rPr>
        <w:t xml:space="preserve">purpose of </w:t>
      </w:r>
      <w:r w:rsidR="006E4208" w:rsidRPr="00631CBD">
        <w:rPr>
          <w:rFonts w:ascii="Arial" w:hAnsi="Arial" w:cs="Arial"/>
          <w:sz w:val="22"/>
          <w:szCs w:val="22"/>
        </w:rPr>
        <w:t>these</w:t>
      </w:r>
      <w:r w:rsidR="009D40FD" w:rsidRPr="00631CBD">
        <w:rPr>
          <w:rFonts w:ascii="Arial" w:hAnsi="Arial" w:cs="Arial"/>
          <w:sz w:val="22"/>
          <w:szCs w:val="22"/>
        </w:rPr>
        <w:t xml:space="preserve"> trusts</w:t>
      </w:r>
      <w:r w:rsidR="006E4208" w:rsidRPr="00631CBD">
        <w:rPr>
          <w:rFonts w:ascii="Arial" w:hAnsi="Arial" w:cs="Arial"/>
          <w:sz w:val="22"/>
          <w:szCs w:val="22"/>
        </w:rPr>
        <w:t>.</w:t>
      </w:r>
      <w:r w:rsidR="0002463F" w:rsidRPr="00631CBD">
        <w:rPr>
          <w:rStyle w:val="FootnoteReference"/>
          <w:rFonts w:ascii="Arial" w:hAnsi="Arial" w:cs="Arial"/>
          <w:sz w:val="22"/>
          <w:szCs w:val="22"/>
        </w:rPr>
        <w:footnoteReference w:id="3"/>
      </w:r>
      <w:r w:rsidR="00256D07" w:rsidRPr="00631CBD">
        <w:rPr>
          <w:rFonts w:ascii="Arial" w:hAnsi="Arial" w:cs="Arial"/>
          <w:sz w:val="22"/>
          <w:szCs w:val="22"/>
        </w:rPr>
        <w:t xml:space="preserve"> </w:t>
      </w:r>
      <w:r w:rsidR="00034C1F" w:rsidRPr="00631CBD">
        <w:rPr>
          <w:rFonts w:ascii="Arial" w:hAnsi="Arial" w:cs="Arial"/>
          <w:sz w:val="22"/>
          <w:szCs w:val="22"/>
        </w:rPr>
        <w:t xml:space="preserve"> </w:t>
      </w:r>
      <w:r w:rsidR="006E4208" w:rsidRPr="00631CBD">
        <w:rPr>
          <w:rFonts w:ascii="Arial" w:hAnsi="Arial" w:cs="Arial"/>
          <w:sz w:val="22"/>
          <w:szCs w:val="22"/>
        </w:rPr>
        <w:t>Nevertheless</w:t>
      </w:r>
      <w:r w:rsidR="009E5D5D" w:rsidRPr="00631CBD">
        <w:rPr>
          <w:rFonts w:ascii="Arial" w:hAnsi="Arial" w:cs="Arial"/>
          <w:sz w:val="22"/>
          <w:szCs w:val="22"/>
        </w:rPr>
        <w:t>, it is</w:t>
      </w:r>
      <w:r w:rsidR="006E4208" w:rsidRPr="00631CBD">
        <w:rPr>
          <w:rFonts w:ascii="Arial" w:hAnsi="Arial" w:cs="Arial"/>
          <w:sz w:val="22"/>
          <w:szCs w:val="22"/>
        </w:rPr>
        <w:t xml:space="preserve"> not</w:t>
      </w:r>
      <w:r w:rsidR="009E5D5D" w:rsidRPr="00631CBD">
        <w:rPr>
          <w:rFonts w:ascii="Arial" w:hAnsi="Arial" w:cs="Arial"/>
          <w:sz w:val="22"/>
          <w:szCs w:val="22"/>
        </w:rPr>
        <w:t xml:space="preserve"> </w:t>
      </w:r>
      <w:r w:rsidR="006E4208" w:rsidRPr="00631CBD">
        <w:rPr>
          <w:rFonts w:ascii="Arial" w:hAnsi="Arial" w:cs="Arial"/>
          <w:sz w:val="22"/>
          <w:szCs w:val="22"/>
        </w:rPr>
        <w:t>un</w:t>
      </w:r>
      <w:r w:rsidR="009E5D5D" w:rsidRPr="00631CBD">
        <w:rPr>
          <w:rFonts w:ascii="Arial" w:hAnsi="Arial" w:cs="Arial"/>
          <w:sz w:val="22"/>
          <w:szCs w:val="22"/>
        </w:rPr>
        <w:t xml:space="preserve">common </w:t>
      </w:r>
      <w:r w:rsidR="006E4208" w:rsidRPr="00631CBD">
        <w:rPr>
          <w:rFonts w:ascii="Arial" w:hAnsi="Arial" w:cs="Arial"/>
          <w:sz w:val="22"/>
          <w:szCs w:val="22"/>
        </w:rPr>
        <w:t>to find provisions in commercial</w:t>
      </w:r>
      <w:r w:rsidR="009E5D5D" w:rsidRPr="00631CBD">
        <w:rPr>
          <w:rFonts w:ascii="Arial" w:hAnsi="Arial" w:cs="Arial"/>
          <w:sz w:val="22"/>
          <w:szCs w:val="22"/>
        </w:rPr>
        <w:t xml:space="preserve"> trusts </w:t>
      </w:r>
      <w:r w:rsidR="006E4208" w:rsidRPr="00631CBD">
        <w:rPr>
          <w:rFonts w:ascii="Arial" w:hAnsi="Arial" w:cs="Arial"/>
          <w:sz w:val="22"/>
          <w:szCs w:val="22"/>
        </w:rPr>
        <w:t>reserving a</w:t>
      </w:r>
      <w:r w:rsidR="00256D07" w:rsidRPr="00631CBD">
        <w:rPr>
          <w:rFonts w:ascii="Arial" w:hAnsi="Arial" w:cs="Arial"/>
          <w:sz w:val="22"/>
          <w:szCs w:val="22"/>
        </w:rPr>
        <w:t xml:space="preserve"> </w:t>
      </w:r>
      <w:r w:rsidR="00164496" w:rsidRPr="00631CBD">
        <w:rPr>
          <w:rFonts w:ascii="Arial" w:hAnsi="Arial" w:cs="Arial"/>
          <w:sz w:val="22"/>
          <w:szCs w:val="22"/>
        </w:rPr>
        <w:t xml:space="preserve">power to </w:t>
      </w:r>
      <w:r w:rsidR="00114C94" w:rsidRPr="00631CBD">
        <w:rPr>
          <w:rFonts w:ascii="Arial" w:hAnsi="Arial" w:cs="Arial"/>
          <w:sz w:val="22"/>
          <w:szCs w:val="22"/>
        </w:rPr>
        <w:t>select amongst</w:t>
      </w:r>
      <w:r w:rsidR="00256D07" w:rsidRPr="00631CBD">
        <w:rPr>
          <w:rFonts w:ascii="Arial" w:hAnsi="Arial" w:cs="Arial"/>
          <w:sz w:val="22"/>
          <w:szCs w:val="22"/>
        </w:rPr>
        <w:t xml:space="preserve"> charities </w:t>
      </w:r>
      <w:r w:rsidR="006E4208" w:rsidRPr="00631CBD">
        <w:rPr>
          <w:rFonts w:ascii="Arial" w:hAnsi="Arial" w:cs="Arial"/>
          <w:sz w:val="22"/>
          <w:szCs w:val="22"/>
        </w:rPr>
        <w:t>within</w:t>
      </w:r>
      <w:r w:rsidR="00114C94" w:rsidRPr="00631CBD">
        <w:rPr>
          <w:rFonts w:ascii="Arial" w:hAnsi="Arial" w:cs="Arial"/>
          <w:sz w:val="22"/>
          <w:szCs w:val="22"/>
        </w:rPr>
        <w:t xml:space="preserve"> </w:t>
      </w:r>
      <w:r w:rsidR="003709D1" w:rsidRPr="00631CBD">
        <w:rPr>
          <w:rFonts w:ascii="Arial" w:hAnsi="Arial" w:cs="Arial"/>
          <w:sz w:val="22"/>
          <w:szCs w:val="22"/>
        </w:rPr>
        <w:t>the pool of potential beneficiaries</w:t>
      </w:r>
      <w:r w:rsidR="006E4208" w:rsidRPr="00631CBD">
        <w:rPr>
          <w:rFonts w:ascii="Arial" w:hAnsi="Arial" w:cs="Arial"/>
          <w:sz w:val="22"/>
          <w:szCs w:val="22"/>
        </w:rPr>
        <w:t xml:space="preserve">, </w:t>
      </w:r>
      <w:r w:rsidR="003709D1" w:rsidRPr="00631CBD">
        <w:rPr>
          <w:rFonts w:ascii="Arial" w:hAnsi="Arial" w:cs="Arial"/>
          <w:sz w:val="22"/>
          <w:szCs w:val="22"/>
        </w:rPr>
        <w:t>either in the usual course, or upon terminatio</w:t>
      </w:r>
      <w:r w:rsidR="00256D07" w:rsidRPr="00631CBD">
        <w:rPr>
          <w:rFonts w:ascii="Arial" w:hAnsi="Arial" w:cs="Arial"/>
          <w:sz w:val="22"/>
          <w:szCs w:val="22"/>
        </w:rPr>
        <w:t>n o</w:t>
      </w:r>
      <w:r w:rsidR="006E4208" w:rsidRPr="00631CBD">
        <w:rPr>
          <w:rFonts w:ascii="Arial" w:hAnsi="Arial" w:cs="Arial"/>
          <w:sz w:val="22"/>
          <w:szCs w:val="22"/>
        </w:rPr>
        <w:t>r failure of the trust</w:t>
      </w:r>
      <w:r w:rsidR="009E5D5D" w:rsidRPr="00631CBD">
        <w:rPr>
          <w:rFonts w:ascii="Arial" w:hAnsi="Arial" w:cs="Arial"/>
          <w:sz w:val="22"/>
          <w:szCs w:val="22"/>
        </w:rPr>
        <w:t xml:space="preserve">. </w:t>
      </w:r>
      <w:r w:rsidR="00034C1F" w:rsidRPr="00631CBD">
        <w:rPr>
          <w:rFonts w:ascii="Arial" w:hAnsi="Arial" w:cs="Arial"/>
          <w:sz w:val="22"/>
          <w:szCs w:val="22"/>
        </w:rPr>
        <w:t xml:space="preserve"> </w:t>
      </w:r>
      <w:r w:rsidR="009E5D5D" w:rsidRPr="00631CBD">
        <w:rPr>
          <w:rFonts w:ascii="Arial" w:hAnsi="Arial" w:cs="Arial"/>
          <w:sz w:val="22"/>
          <w:szCs w:val="22"/>
        </w:rPr>
        <w:t>In the</w:t>
      </w:r>
      <w:r w:rsidR="00256D07" w:rsidRPr="00631CBD">
        <w:rPr>
          <w:rFonts w:ascii="Arial" w:hAnsi="Arial" w:cs="Arial"/>
          <w:sz w:val="22"/>
          <w:szCs w:val="22"/>
        </w:rPr>
        <w:t xml:space="preserve"> co</w:t>
      </w:r>
      <w:r w:rsidR="009E5D5D" w:rsidRPr="00631CBD">
        <w:rPr>
          <w:rFonts w:ascii="Arial" w:hAnsi="Arial" w:cs="Arial"/>
          <w:sz w:val="22"/>
          <w:szCs w:val="22"/>
        </w:rPr>
        <w:t>mmercial sphere</w:t>
      </w:r>
      <w:r w:rsidR="00256D07" w:rsidRPr="00631CBD">
        <w:rPr>
          <w:rFonts w:ascii="Arial" w:hAnsi="Arial" w:cs="Arial"/>
          <w:sz w:val="22"/>
          <w:szCs w:val="22"/>
        </w:rPr>
        <w:t xml:space="preserve">, </w:t>
      </w:r>
      <w:r w:rsidR="006E4208" w:rsidRPr="00631CBD">
        <w:rPr>
          <w:rFonts w:ascii="Arial" w:hAnsi="Arial" w:cs="Arial"/>
          <w:sz w:val="22"/>
          <w:szCs w:val="22"/>
        </w:rPr>
        <w:t>this power might be expected to be conferred upon</w:t>
      </w:r>
      <w:r w:rsidR="00256D07" w:rsidRPr="00631CBD">
        <w:rPr>
          <w:rFonts w:ascii="Arial" w:hAnsi="Arial" w:cs="Arial"/>
          <w:sz w:val="22"/>
          <w:szCs w:val="22"/>
        </w:rPr>
        <w:t xml:space="preserve"> </w:t>
      </w:r>
      <w:r w:rsidR="003709D1" w:rsidRPr="00631CBD">
        <w:rPr>
          <w:rFonts w:ascii="Arial" w:hAnsi="Arial" w:cs="Arial"/>
          <w:sz w:val="22"/>
          <w:szCs w:val="22"/>
        </w:rPr>
        <w:t xml:space="preserve">an entity associated with the corporate entity utilising the trust </w:t>
      </w:r>
      <w:r w:rsidR="009D40FD" w:rsidRPr="00631CBD">
        <w:rPr>
          <w:rFonts w:ascii="Arial" w:hAnsi="Arial" w:cs="Arial"/>
          <w:sz w:val="22"/>
          <w:szCs w:val="22"/>
        </w:rPr>
        <w:t>for its own commercial purposes</w:t>
      </w:r>
      <w:r w:rsidR="00034C1F" w:rsidRPr="00631CBD">
        <w:rPr>
          <w:rFonts w:ascii="Arial" w:hAnsi="Arial" w:cs="Arial"/>
          <w:sz w:val="22"/>
          <w:szCs w:val="22"/>
        </w:rPr>
        <w:t>.</w:t>
      </w:r>
    </w:p>
    <w:p w14:paraId="12E840D2" w14:textId="77777777" w:rsidR="004E5F3A" w:rsidRPr="00631CBD" w:rsidRDefault="006E4208" w:rsidP="00631CBD">
      <w:pPr>
        <w:spacing w:after="360" w:line="480" w:lineRule="auto"/>
        <w:rPr>
          <w:rFonts w:ascii="Arial" w:hAnsi="Arial" w:cs="Arial"/>
          <w:sz w:val="22"/>
          <w:szCs w:val="22"/>
        </w:rPr>
      </w:pPr>
      <w:r w:rsidRPr="00631CBD">
        <w:rPr>
          <w:rFonts w:ascii="Arial" w:hAnsi="Arial" w:cs="Arial"/>
          <w:sz w:val="22"/>
          <w:szCs w:val="22"/>
        </w:rPr>
        <w:t>The fact that charities are among</w:t>
      </w:r>
      <w:r w:rsidR="004E5F3A" w:rsidRPr="00631CBD">
        <w:rPr>
          <w:rFonts w:ascii="Arial" w:hAnsi="Arial" w:cs="Arial"/>
          <w:sz w:val="22"/>
          <w:szCs w:val="22"/>
        </w:rPr>
        <w:t xml:space="preserve"> the class</w:t>
      </w:r>
      <w:r w:rsidR="00AA0361" w:rsidRPr="00631CBD">
        <w:rPr>
          <w:rFonts w:ascii="Arial" w:hAnsi="Arial" w:cs="Arial"/>
          <w:sz w:val="22"/>
          <w:szCs w:val="22"/>
        </w:rPr>
        <w:t xml:space="preserve"> of </w:t>
      </w:r>
      <w:r w:rsidR="00886993" w:rsidRPr="00631CBD">
        <w:rPr>
          <w:rFonts w:ascii="Arial" w:hAnsi="Arial" w:cs="Arial"/>
          <w:sz w:val="22"/>
          <w:szCs w:val="22"/>
        </w:rPr>
        <w:t>potential</w:t>
      </w:r>
      <w:r w:rsidR="00AA0361" w:rsidRPr="00631CBD">
        <w:rPr>
          <w:rFonts w:ascii="Arial" w:hAnsi="Arial" w:cs="Arial"/>
          <w:sz w:val="22"/>
          <w:szCs w:val="22"/>
        </w:rPr>
        <w:t xml:space="preserve"> beneficiaries</w:t>
      </w:r>
      <w:r w:rsidR="004E5F3A" w:rsidRPr="00631CBD">
        <w:rPr>
          <w:rFonts w:ascii="Arial" w:hAnsi="Arial" w:cs="Arial"/>
          <w:sz w:val="22"/>
          <w:szCs w:val="22"/>
        </w:rPr>
        <w:t xml:space="preserve"> does not change the nature of the trust.</w:t>
      </w:r>
      <w:r w:rsidR="00034C1F" w:rsidRPr="00631CBD">
        <w:rPr>
          <w:rFonts w:ascii="Arial" w:hAnsi="Arial" w:cs="Arial"/>
          <w:sz w:val="22"/>
          <w:szCs w:val="22"/>
        </w:rPr>
        <w:t xml:space="preserve"> </w:t>
      </w:r>
      <w:r w:rsidR="004E5F3A" w:rsidRPr="00631CBD">
        <w:rPr>
          <w:rFonts w:ascii="Arial" w:hAnsi="Arial" w:cs="Arial"/>
          <w:sz w:val="22"/>
          <w:szCs w:val="22"/>
        </w:rPr>
        <w:t xml:space="preserve"> The purpose of such a trust is primarily commercial. </w:t>
      </w:r>
      <w:r w:rsidR="00034C1F" w:rsidRPr="00631CBD">
        <w:rPr>
          <w:rFonts w:ascii="Arial" w:hAnsi="Arial" w:cs="Arial"/>
          <w:sz w:val="22"/>
          <w:szCs w:val="22"/>
        </w:rPr>
        <w:t xml:space="preserve"> </w:t>
      </w:r>
      <w:r w:rsidR="00886993" w:rsidRPr="00631CBD">
        <w:rPr>
          <w:rFonts w:ascii="Arial" w:hAnsi="Arial" w:cs="Arial"/>
          <w:sz w:val="22"/>
          <w:szCs w:val="22"/>
        </w:rPr>
        <w:t>Nevertheless</w:t>
      </w:r>
      <w:r w:rsidRPr="00631CBD">
        <w:rPr>
          <w:rFonts w:ascii="Arial" w:hAnsi="Arial" w:cs="Arial"/>
          <w:sz w:val="22"/>
          <w:szCs w:val="22"/>
        </w:rPr>
        <w:t xml:space="preserve">, </w:t>
      </w:r>
      <w:r w:rsidR="00886993" w:rsidRPr="00631CBD">
        <w:rPr>
          <w:rFonts w:ascii="Arial" w:hAnsi="Arial" w:cs="Arial"/>
          <w:sz w:val="22"/>
          <w:szCs w:val="22"/>
        </w:rPr>
        <w:t xml:space="preserve">this does not </w:t>
      </w:r>
      <w:r w:rsidRPr="00631CBD">
        <w:rPr>
          <w:rFonts w:ascii="Arial" w:hAnsi="Arial" w:cs="Arial"/>
          <w:sz w:val="22"/>
          <w:szCs w:val="22"/>
        </w:rPr>
        <w:t xml:space="preserve">mean that the </w:t>
      </w:r>
      <w:r w:rsidR="004E5F3A" w:rsidRPr="00631CBD">
        <w:rPr>
          <w:rFonts w:ascii="Arial" w:hAnsi="Arial" w:cs="Arial"/>
          <w:sz w:val="22"/>
          <w:szCs w:val="22"/>
        </w:rPr>
        <w:t>cases concerned with the validity of</w:t>
      </w:r>
      <w:r w:rsidRPr="00631CBD">
        <w:rPr>
          <w:rFonts w:ascii="Arial" w:hAnsi="Arial" w:cs="Arial"/>
          <w:sz w:val="22"/>
          <w:szCs w:val="22"/>
        </w:rPr>
        <w:t xml:space="preserve"> so called charitable purpose</w:t>
      </w:r>
      <w:r w:rsidR="00F25DC2" w:rsidRPr="00631CBD">
        <w:rPr>
          <w:rFonts w:ascii="Arial" w:hAnsi="Arial" w:cs="Arial"/>
          <w:sz w:val="22"/>
          <w:szCs w:val="22"/>
        </w:rPr>
        <w:t xml:space="preserve"> trust</w:t>
      </w:r>
      <w:r w:rsidR="00AA0361" w:rsidRPr="00631CBD">
        <w:rPr>
          <w:rFonts w:ascii="Arial" w:hAnsi="Arial" w:cs="Arial"/>
          <w:sz w:val="22"/>
          <w:szCs w:val="22"/>
        </w:rPr>
        <w:t>s</w:t>
      </w:r>
      <w:r w:rsidR="00F25DC2" w:rsidRPr="00631CBD">
        <w:rPr>
          <w:rFonts w:ascii="Arial" w:hAnsi="Arial" w:cs="Arial"/>
          <w:sz w:val="22"/>
          <w:szCs w:val="22"/>
        </w:rPr>
        <w:t xml:space="preserve"> are not relevant.</w:t>
      </w:r>
      <w:r w:rsidR="004E5F3A" w:rsidRPr="00631CBD">
        <w:rPr>
          <w:rFonts w:ascii="Arial" w:hAnsi="Arial" w:cs="Arial"/>
          <w:sz w:val="22"/>
          <w:szCs w:val="22"/>
        </w:rPr>
        <w:t xml:space="preserve"> </w:t>
      </w:r>
      <w:r w:rsidR="00034C1F" w:rsidRPr="00631CBD">
        <w:rPr>
          <w:rFonts w:ascii="Arial" w:hAnsi="Arial" w:cs="Arial"/>
          <w:sz w:val="22"/>
          <w:szCs w:val="22"/>
        </w:rPr>
        <w:t xml:space="preserve"> </w:t>
      </w:r>
      <w:r w:rsidR="00F25DC2" w:rsidRPr="00631CBD">
        <w:rPr>
          <w:rFonts w:ascii="Arial" w:hAnsi="Arial" w:cs="Arial"/>
          <w:sz w:val="22"/>
          <w:szCs w:val="22"/>
        </w:rPr>
        <w:t xml:space="preserve">Consequently, regard must be had </w:t>
      </w:r>
      <w:r w:rsidR="004E5F3A" w:rsidRPr="00631CBD">
        <w:rPr>
          <w:rFonts w:ascii="Arial" w:hAnsi="Arial" w:cs="Arial"/>
          <w:sz w:val="22"/>
          <w:szCs w:val="22"/>
        </w:rPr>
        <w:t xml:space="preserve">to Lord Macnaghten's oft-repeated statement in </w:t>
      </w:r>
      <w:r w:rsidR="004E5F3A" w:rsidRPr="00631CBD">
        <w:rPr>
          <w:rFonts w:ascii="Arial" w:hAnsi="Arial" w:cs="Arial"/>
          <w:i/>
          <w:sz w:val="22"/>
          <w:szCs w:val="22"/>
        </w:rPr>
        <w:t>Pemsel’s case</w:t>
      </w:r>
      <w:r w:rsidR="004E5F3A" w:rsidRPr="00631CBD">
        <w:rPr>
          <w:rFonts w:ascii="Arial" w:hAnsi="Arial" w:cs="Arial"/>
          <w:sz w:val="22"/>
          <w:szCs w:val="22"/>
        </w:rPr>
        <w:t xml:space="preserve"> that “charity in its legal sense comprises four principle divisions: trusts for the relief of poverty; trusts for the advancement of </w:t>
      </w:r>
      <w:r w:rsidR="004E5F3A" w:rsidRPr="00631CBD">
        <w:rPr>
          <w:rFonts w:ascii="Arial" w:hAnsi="Arial" w:cs="Arial"/>
          <w:sz w:val="22"/>
          <w:szCs w:val="22"/>
        </w:rPr>
        <w:lastRenderedPageBreak/>
        <w:t>education; trusts for the advancement of religion; and trusts for other purposes beneficial to the community, not falling under any of the previous heads''.</w:t>
      </w:r>
      <w:r w:rsidR="00886993" w:rsidRPr="00631CBD">
        <w:rPr>
          <w:rStyle w:val="FootnoteReference"/>
          <w:rFonts w:ascii="Arial" w:hAnsi="Arial" w:cs="Arial"/>
          <w:sz w:val="22"/>
          <w:szCs w:val="22"/>
        </w:rPr>
        <w:footnoteReference w:id="4"/>
      </w:r>
      <w:r w:rsidR="004E5F3A" w:rsidRPr="00631CBD">
        <w:rPr>
          <w:rFonts w:ascii="Arial" w:hAnsi="Arial" w:cs="Arial"/>
          <w:sz w:val="22"/>
          <w:szCs w:val="22"/>
        </w:rPr>
        <w:t xml:space="preserve"> </w:t>
      </w:r>
      <w:r w:rsidR="00034C1F" w:rsidRPr="00631CBD">
        <w:rPr>
          <w:rFonts w:ascii="Arial" w:hAnsi="Arial" w:cs="Arial"/>
          <w:sz w:val="22"/>
          <w:szCs w:val="22"/>
        </w:rPr>
        <w:t xml:space="preserve"> </w:t>
      </w:r>
      <w:r w:rsidR="00237412" w:rsidRPr="00631CBD">
        <w:rPr>
          <w:rFonts w:ascii="Arial" w:hAnsi="Arial" w:cs="Arial"/>
          <w:sz w:val="22"/>
          <w:szCs w:val="22"/>
        </w:rPr>
        <w:t>Critically</w:t>
      </w:r>
      <w:r w:rsidR="004E5F3A" w:rsidRPr="00631CBD">
        <w:rPr>
          <w:rFonts w:ascii="Arial" w:hAnsi="Arial" w:cs="Arial"/>
          <w:sz w:val="22"/>
          <w:szCs w:val="22"/>
        </w:rPr>
        <w:t xml:space="preserve">, in addition to the requirement that </w:t>
      </w:r>
      <w:r w:rsidR="00237412" w:rsidRPr="00631CBD">
        <w:rPr>
          <w:rFonts w:ascii="Arial" w:hAnsi="Arial" w:cs="Arial"/>
          <w:sz w:val="22"/>
          <w:szCs w:val="22"/>
        </w:rPr>
        <w:t>the</w:t>
      </w:r>
      <w:r w:rsidR="004E5F3A" w:rsidRPr="00631CBD">
        <w:rPr>
          <w:rFonts w:ascii="Arial" w:hAnsi="Arial" w:cs="Arial"/>
          <w:sz w:val="22"/>
          <w:szCs w:val="22"/>
        </w:rPr>
        <w:t xml:space="preserve"> purpose be charitable, t</w:t>
      </w:r>
      <w:r w:rsidR="00237412" w:rsidRPr="00631CBD">
        <w:rPr>
          <w:rFonts w:ascii="Arial" w:hAnsi="Arial" w:cs="Arial"/>
          <w:sz w:val="22"/>
          <w:szCs w:val="22"/>
        </w:rPr>
        <w:t>he trust</w:t>
      </w:r>
      <w:r w:rsidR="004E5F3A" w:rsidRPr="00631CBD">
        <w:rPr>
          <w:rFonts w:ascii="Arial" w:hAnsi="Arial" w:cs="Arial"/>
          <w:sz w:val="22"/>
          <w:szCs w:val="22"/>
        </w:rPr>
        <w:t xml:space="preserve"> must also serve the “public purpose”.</w:t>
      </w:r>
      <w:r w:rsidR="004E5F3A" w:rsidRPr="00631CBD">
        <w:rPr>
          <w:rStyle w:val="FootnoteReference"/>
          <w:rFonts w:ascii="Arial" w:hAnsi="Arial" w:cs="Arial"/>
          <w:sz w:val="22"/>
          <w:szCs w:val="22"/>
        </w:rPr>
        <w:footnoteReference w:id="5"/>
      </w:r>
      <w:r w:rsidR="004E5F3A" w:rsidRPr="00631CBD">
        <w:rPr>
          <w:rFonts w:ascii="Arial" w:hAnsi="Arial" w:cs="Arial"/>
          <w:sz w:val="22"/>
          <w:szCs w:val="22"/>
        </w:rPr>
        <w:t xml:space="preserve"> </w:t>
      </w:r>
      <w:r w:rsidR="00034C1F" w:rsidRPr="00631CBD">
        <w:rPr>
          <w:rFonts w:ascii="Arial" w:hAnsi="Arial" w:cs="Arial"/>
          <w:sz w:val="22"/>
          <w:szCs w:val="22"/>
        </w:rPr>
        <w:t xml:space="preserve"> </w:t>
      </w:r>
      <w:r w:rsidR="004E5F3A" w:rsidRPr="00631CBD">
        <w:rPr>
          <w:rFonts w:ascii="Arial" w:hAnsi="Arial" w:cs="Arial"/>
          <w:sz w:val="22"/>
          <w:szCs w:val="22"/>
        </w:rPr>
        <w:t>Thus, for example, a trust to educate employees</w:t>
      </w:r>
      <w:r w:rsidR="00D8765C" w:rsidRPr="00631CBD">
        <w:rPr>
          <w:rFonts w:ascii="Arial" w:hAnsi="Arial" w:cs="Arial"/>
          <w:sz w:val="22"/>
          <w:szCs w:val="22"/>
        </w:rPr>
        <w:t>’</w:t>
      </w:r>
      <w:r w:rsidR="004E5F3A" w:rsidRPr="00631CBD">
        <w:rPr>
          <w:rFonts w:ascii="Arial" w:hAnsi="Arial" w:cs="Arial"/>
          <w:sz w:val="22"/>
          <w:szCs w:val="22"/>
        </w:rPr>
        <w:t xml:space="preserve"> children is </w:t>
      </w:r>
      <w:r w:rsidR="00A84185" w:rsidRPr="00631CBD">
        <w:rPr>
          <w:rFonts w:ascii="Arial" w:hAnsi="Arial" w:cs="Arial"/>
          <w:sz w:val="22"/>
          <w:szCs w:val="22"/>
        </w:rPr>
        <w:t xml:space="preserve">invalid, as it is </w:t>
      </w:r>
      <w:r w:rsidR="004E5F3A" w:rsidRPr="00631CBD">
        <w:rPr>
          <w:rFonts w:ascii="Arial" w:hAnsi="Arial" w:cs="Arial"/>
          <w:sz w:val="22"/>
          <w:szCs w:val="22"/>
        </w:rPr>
        <w:t>not a valid chari</w:t>
      </w:r>
      <w:r w:rsidR="00A84185" w:rsidRPr="00631CBD">
        <w:rPr>
          <w:rFonts w:ascii="Arial" w:hAnsi="Arial" w:cs="Arial"/>
          <w:sz w:val="22"/>
          <w:szCs w:val="22"/>
        </w:rPr>
        <w:t>table purpose that serves the public</w:t>
      </w:r>
      <w:r w:rsidR="004E5F3A" w:rsidRPr="00631CBD">
        <w:rPr>
          <w:rFonts w:ascii="Arial" w:hAnsi="Arial" w:cs="Arial"/>
          <w:sz w:val="22"/>
          <w:szCs w:val="22"/>
        </w:rPr>
        <w:t>.</w:t>
      </w:r>
      <w:r w:rsidR="004E5F3A" w:rsidRPr="00631CBD">
        <w:rPr>
          <w:rStyle w:val="FootnoteReference"/>
          <w:rFonts w:ascii="Arial" w:hAnsi="Arial" w:cs="Arial"/>
          <w:sz w:val="22"/>
          <w:szCs w:val="22"/>
        </w:rPr>
        <w:footnoteReference w:id="6"/>
      </w:r>
      <w:r w:rsidR="00034C1F" w:rsidRPr="00631CBD">
        <w:rPr>
          <w:rFonts w:ascii="Arial" w:hAnsi="Arial" w:cs="Arial"/>
          <w:sz w:val="22"/>
          <w:szCs w:val="22"/>
        </w:rPr>
        <w:t xml:space="preserve"> </w:t>
      </w:r>
      <w:r w:rsidR="004E5F3A" w:rsidRPr="00631CBD">
        <w:rPr>
          <w:rFonts w:ascii="Arial" w:hAnsi="Arial" w:cs="Arial"/>
          <w:sz w:val="22"/>
          <w:szCs w:val="22"/>
        </w:rPr>
        <w:t xml:space="preserve"> It would </w:t>
      </w:r>
      <w:r w:rsidR="00F25DC2" w:rsidRPr="00631CBD">
        <w:rPr>
          <w:rFonts w:ascii="Arial" w:hAnsi="Arial" w:cs="Arial"/>
          <w:sz w:val="22"/>
          <w:szCs w:val="22"/>
        </w:rPr>
        <w:t>also</w:t>
      </w:r>
      <w:r w:rsidR="004E5F3A" w:rsidRPr="00631CBD">
        <w:rPr>
          <w:rFonts w:ascii="Arial" w:hAnsi="Arial" w:cs="Arial"/>
          <w:sz w:val="22"/>
          <w:szCs w:val="22"/>
        </w:rPr>
        <w:t xml:space="preserve"> follow that a charitable trust for a limited class of individuals, for example, employees of a particular </w:t>
      </w:r>
      <w:r w:rsidR="00A84185" w:rsidRPr="00631CBD">
        <w:rPr>
          <w:rFonts w:ascii="Arial" w:hAnsi="Arial" w:cs="Arial"/>
          <w:sz w:val="22"/>
          <w:szCs w:val="22"/>
        </w:rPr>
        <w:t xml:space="preserve">company, would </w:t>
      </w:r>
      <w:r w:rsidR="00F25DC2" w:rsidRPr="00631CBD">
        <w:rPr>
          <w:rFonts w:ascii="Arial" w:hAnsi="Arial" w:cs="Arial"/>
          <w:sz w:val="22"/>
          <w:szCs w:val="22"/>
        </w:rPr>
        <w:t xml:space="preserve">fail as a </w:t>
      </w:r>
      <w:r w:rsidR="00A84185" w:rsidRPr="00631CBD">
        <w:rPr>
          <w:rFonts w:ascii="Arial" w:hAnsi="Arial" w:cs="Arial"/>
          <w:sz w:val="22"/>
          <w:szCs w:val="22"/>
        </w:rPr>
        <w:t>charitable trust</w:t>
      </w:r>
      <w:r w:rsidR="004E5F3A" w:rsidRPr="00631CBD">
        <w:rPr>
          <w:rFonts w:ascii="Arial" w:hAnsi="Arial" w:cs="Arial"/>
          <w:sz w:val="22"/>
          <w:szCs w:val="22"/>
        </w:rPr>
        <w:t>.</w:t>
      </w:r>
      <w:r w:rsidR="004E5F3A" w:rsidRPr="00631CBD">
        <w:rPr>
          <w:rStyle w:val="FootnoteReference"/>
          <w:rFonts w:ascii="Arial" w:hAnsi="Arial" w:cs="Arial"/>
          <w:sz w:val="22"/>
          <w:szCs w:val="22"/>
        </w:rPr>
        <w:footnoteReference w:id="7"/>
      </w:r>
      <w:r w:rsidR="004E5F3A" w:rsidRPr="00631CBD">
        <w:rPr>
          <w:rFonts w:ascii="Arial" w:hAnsi="Arial" w:cs="Arial"/>
          <w:sz w:val="22"/>
          <w:szCs w:val="22"/>
        </w:rPr>
        <w:t xml:space="preserve"> </w:t>
      </w:r>
      <w:r w:rsidR="00034C1F" w:rsidRPr="00631CBD">
        <w:rPr>
          <w:rFonts w:ascii="Arial" w:hAnsi="Arial" w:cs="Arial"/>
          <w:sz w:val="22"/>
          <w:szCs w:val="22"/>
        </w:rPr>
        <w:t xml:space="preserve"> </w:t>
      </w:r>
      <w:r w:rsidR="00237412" w:rsidRPr="00631CBD">
        <w:rPr>
          <w:rFonts w:ascii="Arial" w:hAnsi="Arial" w:cs="Arial"/>
          <w:sz w:val="22"/>
          <w:szCs w:val="22"/>
        </w:rPr>
        <w:t xml:space="preserve">In the present context, it should be noted </w:t>
      </w:r>
      <w:r w:rsidR="00237412" w:rsidRPr="00631CBD">
        <w:rPr>
          <w:rFonts w:ascii="Arial" w:hAnsi="Arial" w:cs="Arial"/>
          <w:sz w:val="22"/>
          <w:szCs w:val="22"/>
        </w:rPr>
        <w:lastRenderedPageBreak/>
        <w:t>that a gift “to such charitable institutions and objects as my said trustees may determine” has been upheld as a good charitable trust.</w:t>
      </w:r>
      <w:r w:rsidR="00237412" w:rsidRPr="00631CBD">
        <w:rPr>
          <w:rStyle w:val="FootnoteReference"/>
          <w:rFonts w:ascii="Arial" w:hAnsi="Arial" w:cs="Arial"/>
          <w:sz w:val="22"/>
          <w:szCs w:val="22"/>
        </w:rPr>
        <w:footnoteReference w:id="8"/>
      </w:r>
      <w:r w:rsidR="00003898" w:rsidRPr="00631CBD">
        <w:rPr>
          <w:rFonts w:ascii="Arial" w:hAnsi="Arial" w:cs="Arial"/>
          <w:sz w:val="22"/>
          <w:szCs w:val="22"/>
        </w:rPr>
        <w:t xml:space="preserve">  So provisions for charity may be specific or non-specific as to the charitable institutions or purposes to which they are directed – provided, of course, they are charitable.  It may be that the more specific are the provisions of the trust, the less it might be said to indicate a general charitable intention.</w:t>
      </w:r>
      <w:r w:rsidR="00003898" w:rsidRPr="00631CBD">
        <w:rPr>
          <w:rStyle w:val="FootnoteReference"/>
          <w:rFonts w:ascii="Arial" w:hAnsi="Arial" w:cs="Arial"/>
          <w:sz w:val="22"/>
          <w:szCs w:val="22"/>
        </w:rPr>
        <w:footnoteReference w:id="9"/>
      </w:r>
    </w:p>
    <w:p w14:paraId="730B6372" w14:textId="77777777" w:rsidR="00256D07" w:rsidRPr="00631CBD" w:rsidRDefault="009E5D5D" w:rsidP="00631CBD">
      <w:pPr>
        <w:spacing w:after="360" w:line="480" w:lineRule="auto"/>
        <w:rPr>
          <w:rFonts w:ascii="Arial" w:hAnsi="Arial" w:cs="Arial"/>
          <w:sz w:val="22"/>
          <w:szCs w:val="22"/>
        </w:rPr>
      </w:pPr>
      <w:r w:rsidRPr="00631CBD">
        <w:rPr>
          <w:rFonts w:ascii="Arial" w:hAnsi="Arial" w:cs="Arial"/>
          <w:sz w:val="22"/>
          <w:szCs w:val="22"/>
        </w:rPr>
        <w:t>T</w:t>
      </w:r>
      <w:r w:rsidR="009D40FD" w:rsidRPr="00631CBD">
        <w:rPr>
          <w:rFonts w:ascii="Arial" w:hAnsi="Arial" w:cs="Arial"/>
          <w:sz w:val="22"/>
          <w:szCs w:val="22"/>
        </w:rPr>
        <w:t>he inclusion of charities as potential beneficiaries</w:t>
      </w:r>
      <w:r w:rsidR="00823ABC" w:rsidRPr="00631CBD">
        <w:rPr>
          <w:rFonts w:ascii="Arial" w:hAnsi="Arial" w:cs="Arial"/>
          <w:sz w:val="22"/>
          <w:szCs w:val="22"/>
        </w:rPr>
        <w:t xml:space="preserve"> in commercial trusts</w:t>
      </w:r>
      <w:r w:rsidR="009D40FD" w:rsidRPr="00631CBD">
        <w:rPr>
          <w:rFonts w:ascii="Arial" w:hAnsi="Arial" w:cs="Arial"/>
          <w:sz w:val="22"/>
          <w:szCs w:val="22"/>
        </w:rPr>
        <w:t xml:space="preserve"> is</w:t>
      </w:r>
      <w:r w:rsidR="00FE70A6" w:rsidRPr="00631CBD">
        <w:rPr>
          <w:rFonts w:ascii="Arial" w:hAnsi="Arial" w:cs="Arial"/>
          <w:sz w:val="22"/>
          <w:szCs w:val="22"/>
        </w:rPr>
        <w:t xml:space="preserve"> predominantly</w:t>
      </w:r>
      <w:r w:rsidR="009D40FD" w:rsidRPr="00631CBD">
        <w:rPr>
          <w:rFonts w:ascii="Arial" w:hAnsi="Arial" w:cs="Arial"/>
          <w:sz w:val="22"/>
          <w:szCs w:val="22"/>
        </w:rPr>
        <w:t xml:space="preserve"> to avoid the trust fa</w:t>
      </w:r>
      <w:r w:rsidR="00256D07" w:rsidRPr="00631CBD">
        <w:rPr>
          <w:rFonts w:ascii="Arial" w:hAnsi="Arial" w:cs="Arial"/>
          <w:sz w:val="22"/>
          <w:szCs w:val="22"/>
        </w:rPr>
        <w:t>iling for want of beneficiaries</w:t>
      </w:r>
      <w:r w:rsidR="00FE70A6" w:rsidRPr="00631CBD">
        <w:rPr>
          <w:rFonts w:ascii="Arial" w:hAnsi="Arial" w:cs="Arial"/>
          <w:sz w:val="22"/>
          <w:szCs w:val="22"/>
        </w:rPr>
        <w:t xml:space="preserve"> as, generally, a trust </w:t>
      </w:r>
      <w:r w:rsidR="000304F0" w:rsidRPr="00631CBD">
        <w:rPr>
          <w:rFonts w:ascii="Arial" w:hAnsi="Arial" w:cs="Arial"/>
          <w:sz w:val="22"/>
          <w:szCs w:val="22"/>
        </w:rPr>
        <w:t xml:space="preserve">with no beneficiaries, or one </w:t>
      </w:r>
      <w:r w:rsidR="00FE70A6" w:rsidRPr="00631CBD">
        <w:rPr>
          <w:rFonts w:ascii="Arial" w:hAnsi="Arial" w:cs="Arial"/>
          <w:sz w:val="22"/>
          <w:szCs w:val="22"/>
        </w:rPr>
        <w:t>expressed to be for a non-charitable purpose, as opposed to</w:t>
      </w:r>
      <w:r w:rsidR="00F25DC2" w:rsidRPr="00631CBD">
        <w:rPr>
          <w:rFonts w:ascii="Arial" w:hAnsi="Arial" w:cs="Arial"/>
          <w:sz w:val="22"/>
          <w:szCs w:val="22"/>
        </w:rPr>
        <w:t xml:space="preserve"> being</w:t>
      </w:r>
      <w:r w:rsidR="00FE70A6" w:rsidRPr="00631CBD">
        <w:rPr>
          <w:rFonts w:ascii="Arial" w:hAnsi="Arial" w:cs="Arial"/>
          <w:sz w:val="22"/>
          <w:szCs w:val="22"/>
        </w:rPr>
        <w:t xml:space="preserve"> </w:t>
      </w:r>
      <w:r w:rsidRPr="00631CBD">
        <w:rPr>
          <w:rFonts w:ascii="Arial" w:hAnsi="Arial" w:cs="Arial"/>
          <w:sz w:val="22"/>
          <w:szCs w:val="22"/>
        </w:rPr>
        <w:t xml:space="preserve">for </w:t>
      </w:r>
      <w:r w:rsidR="00C163E7" w:rsidRPr="00631CBD">
        <w:rPr>
          <w:rFonts w:ascii="Arial" w:hAnsi="Arial" w:cs="Arial"/>
          <w:sz w:val="22"/>
          <w:szCs w:val="22"/>
        </w:rPr>
        <w:t>beneficiaries</w:t>
      </w:r>
      <w:r w:rsidR="00FE70A6" w:rsidRPr="00631CBD">
        <w:rPr>
          <w:rFonts w:ascii="Arial" w:hAnsi="Arial" w:cs="Arial"/>
          <w:sz w:val="22"/>
          <w:szCs w:val="22"/>
        </w:rPr>
        <w:t>, will fail</w:t>
      </w:r>
      <w:r w:rsidR="00256D07" w:rsidRPr="00631CBD">
        <w:rPr>
          <w:rFonts w:ascii="Arial" w:hAnsi="Arial" w:cs="Arial"/>
          <w:sz w:val="22"/>
          <w:szCs w:val="22"/>
        </w:rPr>
        <w:t>.</w:t>
      </w:r>
      <w:r w:rsidR="00FE70A6" w:rsidRPr="00631CBD">
        <w:rPr>
          <w:rStyle w:val="FootnoteReference"/>
          <w:rFonts w:ascii="Arial" w:hAnsi="Arial" w:cs="Arial"/>
          <w:sz w:val="22"/>
          <w:szCs w:val="22"/>
        </w:rPr>
        <w:footnoteReference w:id="10"/>
      </w:r>
      <w:r w:rsidR="00034C1F" w:rsidRPr="00631CBD">
        <w:rPr>
          <w:rFonts w:ascii="Arial" w:hAnsi="Arial" w:cs="Arial"/>
          <w:sz w:val="22"/>
          <w:szCs w:val="22"/>
        </w:rPr>
        <w:t xml:space="preserve"> </w:t>
      </w:r>
      <w:r w:rsidR="000304F0" w:rsidRPr="00631CBD">
        <w:rPr>
          <w:rFonts w:ascii="Arial" w:hAnsi="Arial" w:cs="Arial"/>
          <w:sz w:val="22"/>
          <w:szCs w:val="22"/>
        </w:rPr>
        <w:t xml:space="preserve"> </w:t>
      </w:r>
      <w:r w:rsidR="00003898" w:rsidRPr="00631CBD">
        <w:rPr>
          <w:rFonts w:ascii="Arial" w:hAnsi="Arial" w:cs="Arial"/>
          <w:sz w:val="22"/>
          <w:szCs w:val="22"/>
        </w:rPr>
        <w:t>This “device”</w:t>
      </w:r>
      <w:r w:rsidR="00256D07" w:rsidRPr="00631CBD">
        <w:rPr>
          <w:rFonts w:ascii="Arial" w:hAnsi="Arial" w:cs="Arial"/>
          <w:sz w:val="22"/>
          <w:szCs w:val="22"/>
        </w:rPr>
        <w:t xml:space="preserve"> may also be</w:t>
      </w:r>
      <w:r w:rsidR="0039333F" w:rsidRPr="00631CBD">
        <w:rPr>
          <w:rFonts w:ascii="Arial" w:hAnsi="Arial" w:cs="Arial"/>
          <w:sz w:val="22"/>
          <w:szCs w:val="22"/>
        </w:rPr>
        <w:t xml:space="preserve"> used in limited circumstances </w:t>
      </w:r>
      <w:r w:rsidR="00256D07" w:rsidRPr="00631CBD">
        <w:rPr>
          <w:rFonts w:ascii="Arial" w:hAnsi="Arial" w:cs="Arial"/>
          <w:sz w:val="22"/>
          <w:szCs w:val="22"/>
        </w:rPr>
        <w:t>to avoid the</w:t>
      </w:r>
      <w:r w:rsidR="009D40FD" w:rsidRPr="00631CBD">
        <w:rPr>
          <w:rFonts w:ascii="Arial" w:hAnsi="Arial" w:cs="Arial"/>
          <w:sz w:val="22"/>
          <w:szCs w:val="22"/>
        </w:rPr>
        <w:t xml:space="preserve"> rule against perpetuities</w:t>
      </w:r>
      <w:r w:rsidR="00256D07" w:rsidRPr="00631CBD">
        <w:rPr>
          <w:rFonts w:ascii="Arial" w:hAnsi="Arial" w:cs="Arial"/>
          <w:sz w:val="22"/>
          <w:szCs w:val="22"/>
        </w:rPr>
        <w:t xml:space="preserve"> in certain jurisdictions</w:t>
      </w:r>
      <w:r w:rsidR="00003898" w:rsidRPr="00631CBD">
        <w:rPr>
          <w:rFonts w:ascii="Arial" w:hAnsi="Arial" w:cs="Arial"/>
          <w:sz w:val="22"/>
          <w:szCs w:val="22"/>
        </w:rPr>
        <w:t>;</w:t>
      </w:r>
      <w:r w:rsidR="009D40FD" w:rsidRPr="00631CBD">
        <w:rPr>
          <w:rFonts w:ascii="Arial" w:hAnsi="Arial" w:cs="Arial"/>
          <w:sz w:val="22"/>
          <w:szCs w:val="22"/>
        </w:rPr>
        <w:t xml:space="preserve"> </w:t>
      </w:r>
      <w:r w:rsidR="0039333F" w:rsidRPr="00631CBD">
        <w:rPr>
          <w:rFonts w:ascii="Arial" w:hAnsi="Arial" w:cs="Arial"/>
          <w:sz w:val="22"/>
          <w:szCs w:val="22"/>
        </w:rPr>
        <w:t>also known as</w:t>
      </w:r>
      <w:r w:rsidR="00F25DC2" w:rsidRPr="00631CBD">
        <w:rPr>
          <w:rFonts w:ascii="Arial" w:hAnsi="Arial" w:cs="Arial"/>
          <w:sz w:val="22"/>
          <w:szCs w:val="22"/>
        </w:rPr>
        <w:t xml:space="preserve"> the rule against</w:t>
      </w:r>
      <w:r w:rsidR="0039333F" w:rsidRPr="00631CBD">
        <w:rPr>
          <w:rFonts w:ascii="Arial" w:hAnsi="Arial" w:cs="Arial"/>
          <w:sz w:val="22"/>
          <w:szCs w:val="22"/>
        </w:rPr>
        <w:t xml:space="preserve"> “remoteness of vesting”</w:t>
      </w:r>
      <w:r w:rsidR="00FD1A5B" w:rsidRPr="00631CBD">
        <w:rPr>
          <w:rFonts w:ascii="Arial" w:hAnsi="Arial" w:cs="Arial"/>
          <w:sz w:val="22"/>
          <w:szCs w:val="22"/>
        </w:rPr>
        <w:t xml:space="preserve">. </w:t>
      </w:r>
      <w:r w:rsidR="00034C1F" w:rsidRPr="00631CBD">
        <w:rPr>
          <w:rFonts w:ascii="Arial" w:hAnsi="Arial" w:cs="Arial"/>
          <w:sz w:val="22"/>
          <w:szCs w:val="22"/>
        </w:rPr>
        <w:t xml:space="preserve"> </w:t>
      </w:r>
      <w:r w:rsidR="00FD1A5B" w:rsidRPr="00631CBD">
        <w:rPr>
          <w:rFonts w:ascii="Arial" w:hAnsi="Arial" w:cs="Arial"/>
          <w:sz w:val="22"/>
          <w:szCs w:val="22"/>
        </w:rPr>
        <w:t>A</w:t>
      </w:r>
      <w:r w:rsidR="0039333F" w:rsidRPr="00631CBD">
        <w:rPr>
          <w:rFonts w:ascii="Arial" w:hAnsi="Arial" w:cs="Arial"/>
          <w:sz w:val="22"/>
          <w:szCs w:val="22"/>
        </w:rPr>
        <w:t xml:space="preserve"> trustee</w:t>
      </w:r>
      <w:r w:rsidR="00FD1A5B" w:rsidRPr="00631CBD">
        <w:rPr>
          <w:rFonts w:ascii="Arial" w:hAnsi="Arial" w:cs="Arial"/>
          <w:sz w:val="22"/>
          <w:szCs w:val="22"/>
        </w:rPr>
        <w:t xml:space="preserve"> with </w:t>
      </w:r>
      <w:r w:rsidR="00F25DC2" w:rsidRPr="00631CBD">
        <w:rPr>
          <w:rFonts w:ascii="Arial" w:hAnsi="Arial" w:cs="Arial"/>
          <w:sz w:val="22"/>
          <w:szCs w:val="22"/>
        </w:rPr>
        <w:t xml:space="preserve">a </w:t>
      </w:r>
      <w:r w:rsidR="00FD1A5B" w:rsidRPr="00631CBD">
        <w:rPr>
          <w:rFonts w:ascii="Arial" w:hAnsi="Arial" w:cs="Arial"/>
          <w:sz w:val="22"/>
          <w:szCs w:val="22"/>
        </w:rPr>
        <w:t>power</w:t>
      </w:r>
      <w:r w:rsidR="00F25DC2" w:rsidRPr="00631CBD">
        <w:rPr>
          <w:rFonts w:ascii="Arial" w:hAnsi="Arial" w:cs="Arial"/>
          <w:sz w:val="22"/>
          <w:szCs w:val="22"/>
        </w:rPr>
        <w:t xml:space="preserve"> to appoint could</w:t>
      </w:r>
      <w:r w:rsidR="00FD1A5B" w:rsidRPr="00631CBD">
        <w:rPr>
          <w:rFonts w:ascii="Arial" w:hAnsi="Arial" w:cs="Arial"/>
          <w:sz w:val="22"/>
          <w:szCs w:val="22"/>
        </w:rPr>
        <w:t>, for example,</w:t>
      </w:r>
      <w:r w:rsidR="00F25DC2" w:rsidRPr="00631CBD">
        <w:rPr>
          <w:rFonts w:ascii="Arial" w:hAnsi="Arial" w:cs="Arial"/>
          <w:sz w:val="22"/>
          <w:szCs w:val="22"/>
        </w:rPr>
        <w:t xml:space="preserve"> determine, </w:t>
      </w:r>
      <w:r w:rsidR="00F25DC2" w:rsidRPr="00631CBD">
        <w:rPr>
          <w:rFonts w:ascii="Arial" w:hAnsi="Arial" w:cs="Arial"/>
          <w:sz w:val="22"/>
          <w:szCs w:val="22"/>
        </w:rPr>
        <w:lastRenderedPageBreak/>
        <w:t xml:space="preserve">in the exercise of the trustee’s discretion, </w:t>
      </w:r>
      <w:r w:rsidR="00AA0361" w:rsidRPr="00631CBD">
        <w:rPr>
          <w:rFonts w:ascii="Arial" w:hAnsi="Arial" w:cs="Arial"/>
          <w:sz w:val="22"/>
          <w:szCs w:val="22"/>
        </w:rPr>
        <w:t xml:space="preserve">to </w:t>
      </w:r>
      <w:r w:rsidR="00F25DC2" w:rsidRPr="00631CBD">
        <w:rPr>
          <w:rFonts w:ascii="Arial" w:hAnsi="Arial" w:cs="Arial"/>
          <w:sz w:val="22"/>
          <w:szCs w:val="22"/>
        </w:rPr>
        <w:t xml:space="preserve">make a </w:t>
      </w:r>
      <w:r w:rsidR="0039333F" w:rsidRPr="00631CBD">
        <w:rPr>
          <w:rFonts w:ascii="Arial" w:hAnsi="Arial" w:cs="Arial"/>
          <w:sz w:val="22"/>
          <w:szCs w:val="22"/>
        </w:rPr>
        <w:t xml:space="preserve">distribution to a charitable body if the trust would </w:t>
      </w:r>
      <w:r w:rsidR="00F25DC2" w:rsidRPr="00631CBD">
        <w:rPr>
          <w:rFonts w:ascii="Arial" w:hAnsi="Arial" w:cs="Arial"/>
          <w:sz w:val="22"/>
          <w:szCs w:val="22"/>
        </w:rPr>
        <w:t xml:space="preserve">otherwise fail due to lack of beneficiaries or would otherwise infringe the </w:t>
      </w:r>
      <w:r w:rsidR="006D6314" w:rsidRPr="00631CBD">
        <w:rPr>
          <w:rFonts w:ascii="Arial" w:hAnsi="Arial" w:cs="Arial"/>
          <w:sz w:val="22"/>
          <w:szCs w:val="22"/>
        </w:rPr>
        <w:t>rule against perpetuities</w:t>
      </w:r>
      <w:r w:rsidR="009D40FD" w:rsidRPr="00631CBD">
        <w:rPr>
          <w:rFonts w:ascii="Arial" w:hAnsi="Arial" w:cs="Arial"/>
          <w:sz w:val="22"/>
          <w:szCs w:val="22"/>
        </w:rPr>
        <w:t>.</w:t>
      </w:r>
      <w:r w:rsidR="004B0C34" w:rsidRPr="00631CBD">
        <w:rPr>
          <w:rStyle w:val="FootnoteReference"/>
          <w:rFonts w:ascii="Arial" w:hAnsi="Arial" w:cs="Arial"/>
          <w:sz w:val="22"/>
          <w:szCs w:val="22"/>
        </w:rPr>
        <w:footnoteReference w:id="11"/>
      </w:r>
      <w:r w:rsidR="009D40FD" w:rsidRPr="00631CBD">
        <w:rPr>
          <w:rFonts w:ascii="Arial" w:hAnsi="Arial" w:cs="Arial"/>
          <w:sz w:val="22"/>
          <w:szCs w:val="22"/>
        </w:rPr>
        <w:t xml:space="preserve"> </w:t>
      </w:r>
      <w:r w:rsidR="00034C1F" w:rsidRPr="00631CBD">
        <w:rPr>
          <w:rFonts w:ascii="Arial" w:hAnsi="Arial" w:cs="Arial"/>
          <w:sz w:val="22"/>
          <w:szCs w:val="22"/>
        </w:rPr>
        <w:t xml:space="preserve"> </w:t>
      </w:r>
      <w:r w:rsidR="00636EB9" w:rsidRPr="00631CBD">
        <w:rPr>
          <w:rFonts w:ascii="Arial" w:hAnsi="Arial" w:cs="Arial"/>
          <w:sz w:val="22"/>
          <w:szCs w:val="22"/>
        </w:rPr>
        <w:t>Nevertheless</w:t>
      </w:r>
      <w:r w:rsidR="00005C27" w:rsidRPr="00631CBD">
        <w:rPr>
          <w:rFonts w:ascii="Arial" w:hAnsi="Arial" w:cs="Arial"/>
          <w:sz w:val="22"/>
          <w:szCs w:val="22"/>
        </w:rPr>
        <w:t xml:space="preserve">, </w:t>
      </w:r>
      <w:r w:rsidR="00EA4107" w:rsidRPr="00631CBD">
        <w:rPr>
          <w:rFonts w:ascii="Arial" w:hAnsi="Arial" w:cs="Arial"/>
          <w:sz w:val="22"/>
          <w:szCs w:val="22"/>
        </w:rPr>
        <w:t>the rule against perpetuities</w:t>
      </w:r>
      <w:r w:rsidR="00636EB9" w:rsidRPr="00631CBD">
        <w:rPr>
          <w:rFonts w:ascii="Arial" w:hAnsi="Arial" w:cs="Arial"/>
          <w:sz w:val="22"/>
          <w:szCs w:val="22"/>
        </w:rPr>
        <w:t xml:space="preserve"> will still apply if the trustee exercises the discretion to appoint at a time beyond the period allowed for vesting by the rule. </w:t>
      </w:r>
      <w:r w:rsidR="00034C1F" w:rsidRPr="00631CBD">
        <w:rPr>
          <w:rFonts w:ascii="Arial" w:hAnsi="Arial" w:cs="Arial"/>
          <w:sz w:val="22"/>
          <w:szCs w:val="22"/>
        </w:rPr>
        <w:t xml:space="preserve"> </w:t>
      </w:r>
      <w:r w:rsidR="00636EB9" w:rsidRPr="00631CBD">
        <w:rPr>
          <w:rFonts w:ascii="Arial" w:hAnsi="Arial" w:cs="Arial"/>
          <w:sz w:val="22"/>
          <w:szCs w:val="22"/>
        </w:rPr>
        <w:t xml:space="preserve">It should, of course, be </w:t>
      </w:r>
      <w:r w:rsidR="00AA0361" w:rsidRPr="00631CBD">
        <w:rPr>
          <w:rFonts w:ascii="Arial" w:hAnsi="Arial" w:cs="Arial"/>
          <w:sz w:val="22"/>
          <w:szCs w:val="22"/>
        </w:rPr>
        <w:t>mentioned</w:t>
      </w:r>
      <w:r w:rsidR="00636EB9" w:rsidRPr="00631CBD">
        <w:rPr>
          <w:rFonts w:ascii="Arial" w:hAnsi="Arial" w:cs="Arial"/>
          <w:sz w:val="22"/>
          <w:szCs w:val="22"/>
        </w:rPr>
        <w:t xml:space="preserve"> that </w:t>
      </w:r>
      <w:r w:rsidR="00256D07" w:rsidRPr="00631CBD">
        <w:rPr>
          <w:rFonts w:ascii="Arial" w:hAnsi="Arial" w:cs="Arial"/>
          <w:sz w:val="22"/>
          <w:szCs w:val="22"/>
        </w:rPr>
        <w:t>South Australia</w:t>
      </w:r>
      <w:r w:rsidR="00376836" w:rsidRPr="00631CBD">
        <w:rPr>
          <w:rFonts w:ascii="Arial" w:hAnsi="Arial" w:cs="Arial"/>
          <w:sz w:val="22"/>
          <w:szCs w:val="22"/>
        </w:rPr>
        <w:t xml:space="preserve"> is </w:t>
      </w:r>
      <w:r w:rsidR="00C91E8B" w:rsidRPr="00631CBD">
        <w:rPr>
          <w:rFonts w:ascii="Arial" w:hAnsi="Arial" w:cs="Arial"/>
          <w:sz w:val="22"/>
          <w:szCs w:val="22"/>
        </w:rPr>
        <w:t>a</w:t>
      </w:r>
      <w:r w:rsidR="00376836" w:rsidRPr="00631CBD">
        <w:rPr>
          <w:rFonts w:ascii="Arial" w:hAnsi="Arial" w:cs="Arial"/>
          <w:sz w:val="22"/>
          <w:szCs w:val="22"/>
        </w:rPr>
        <w:t xml:space="preserve"> notable</w:t>
      </w:r>
      <w:r w:rsidR="003550A8" w:rsidRPr="00631CBD">
        <w:rPr>
          <w:rFonts w:ascii="Arial" w:hAnsi="Arial" w:cs="Arial"/>
          <w:sz w:val="22"/>
          <w:szCs w:val="22"/>
        </w:rPr>
        <w:t xml:space="preserve"> exception</w:t>
      </w:r>
      <w:r w:rsidR="00AA4C9C" w:rsidRPr="00631CBD">
        <w:rPr>
          <w:rFonts w:ascii="Arial" w:hAnsi="Arial" w:cs="Arial"/>
          <w:sz w:val="22"/>
          <w:szCs w:val="22"/>
        </w:rPr>
        <w:t xml:space="preserve">, </w:t>
      </w:r>
      <w:r w:rsidR="008F79E2" w:rsidRPr="00631CBD">
        <w:rPr>
          <w:rFonts w:ascii="Arial" w:hAnsi="Arial" w:cs="Arial"/>
          <w:sz w:val="22"/>
          <w:szCs w:val="22"/>
        </w:rPr>
        <w:t>as</w:t>
      </w:r>
      <w:r w:rsidR="003550A8" w:rsidRPr="00631CBD">
        <w:rPr>
          <w:rFonts w:ascii="Arial" w:hAnsi="Arial" w:cs="Arial"/>
          <w:sz w:val="22"/>
          <w:szCs w:val="22"/>
        </w:rPr>
        <w:t xml:space="preserve"> </w:t>
      </w:r>
      <w:r w:rsidR="00256D07" w:rsidRPr="00631CBD">
        <w:rPr>
          <w:rFonts w:ascii="Arial" w:hAnsi="Arial" w:cs="Arial"/>
          <w:sz w:val="22"/>
          <w:szCs w:val="22"/>
        </w:rPr>
        <w:t>the only jurisdiction in Australia</w:t>
      </w:r>
      <w:r w:rsidR="00C91E8B" w:rsidRPr="00631CBD">
        <w:rPr>
          <w:rFonts w:ascii="Arial" w:hAnsi="Arial" w:cs="Arial"/>
          <w:sz w:val="22"/>
          <w:szCs w:val="22"/>
        </w:rPr>
        <w:t xml:space="preserve"> to have abolished this rule</w:t>
      </w:r>
      <w:r w:rsidR="00256D07" w:rsidRPr="00631CBD">
        <w:rPr>
          <w:rFonts w:ascii="Arial" w:hAnsi="Arial" w:cs="Arial"/>
          <w:sz w:val="22"/>
          <w:szCs w:val="22"/>
        </w:rPr>
        <w:t>.</w:t>
      </w:r>
      <w:r w:rsidR="00256D07" w:rsidRPr="00631CBD">
        <w:rPr>
          <w:rStyle w:val="FootnoteReference"/>
          <w:rFonts w:ascii="Arial" w:hAnsi="Arial" w:cs="Arial"/>
          <w:sz w:val="22"/>
          <w:szCs w:val="22"/>
        </w:rPr>
        <w:footnoteReference w:id="12"/>
      </w:r>
      <w:r w:rsidR="00003898" w:rsidRPr="00631CBD">
        <w:rPr>
          <w:rFonts w:ascii="Arial" w:hAnsi="Arial" w:cs="Arial"/>
          <w:sz w:val="22"/>
          <w:szCs w:val="22"/>
        </w:rPr>
        <w:t xml:space="preserve">  Remoteness issues are, of course, more likely to arise with respect to the appointment of capital or residual beneficiaries, rather than with respect to income beneficiaries.</w:t>
      </w:r>
    </w:p>
    <w:p w14:paraId="16F2FE3C" w14:textId="77777777" w:rsidR="00230EFE" w:rsidRPr="00631CBD" w:rsidRDefault="00660B7B" w:rsidP="00631CBD">
      <w:pPr>
        <w:spacing w:after="360" w:line="480" w:lineRule="auto"/>
        <w:rPr>
          <w:rFonts w:ascii="Arial" w:hAnsi="Arial" w:cs="Arial"/>
          <w:sz w:val="22"/>
          <w:szCs w:val="22"/>
        </w:rPr>
      </w:pPr>
      <w:bookmarkStart w:id="1" w:name="_Toc285124583"/>
      <w:r w:rsidRPr="00631CBD">
        <w:rPr>
          <w:rFonts w:ascii="Arial" w:hAnsi="Arial" w:cs="Arial"/>
          <w:sz w:val="22"/>
          <w:szCs w:val="22"/>
        </w:rPr>
        <w:t>The power to nominate beneficiaries, including charitable beneficiaries, is a fiduciary one, which is properly described as a “power in the nature of a trust”, or a “discretionary trust”.</w:t>
      </w:r>
      <w:r w:rsidRPr="00631CBD">
        <w:rPr>
          <w:rStyle w:val="FootnoteReference"/>
          <w:rFonts w:ascii="Arial" w:hAnsi="Arial" w:cs="Arial"/>
          <w:sz w:val="22"/>
          <w:szCs w:val="22"/>
        </w:rPr>
        <w:footnoteReference w:id="13"/>
      </w:r>
      <w:r w:rsidRPr="00631CBD">
        <w:rPr>
          <w:rFonts w:ascii="Arial" w:hAnsi="Arial" w:cs="Arial"/>
          <w:sz w:val="22"/>
          <w:szCs w:val="22"/>
        </w:rPr>
        <w:t xml:space="preserve">  </w:t>
      </w:r>
      <w:r w:rsidR="00003898" w:rsidRPr="00631CBD">
        <w:rPr>
          <w:rFonts w:ascii="Arial" w:hAnsi="Arial" w:cs="Arial"/>
          <w:sz w:val="22"/>
          <w:szCs w:val="22"/>
        </w:rPr>
        <w:t>Subject to powers of accumulation, powers</w:t>
      </w:r>
      <w:r w:rsidRPr="00631CBD">
        <w:rPr>
          <w:rFonts w:ascii="Arial" w:hAnsi="Arial" w:cs="Arial"/>
          <w:sz w:val="22"/>
          <w:szCs w:val="22"/>
        </w:rPr>
        <w:t xml:space="preserve"> such as this impose upon the </w:t>
      </w:r>
      <w:r w:rsidR="00230EFE" w:rsidRPr="00631CBD">
        <w:rPr>
          <w:rFonts w:ascii="Arial" w:hAnsi="Arial" w:cs="Arial"/>
          <w:sz w:val="22"/>
          <w:szCs w:val="22"/>
        </w:rPr>
        <w:t>donee</w:t>
      </w:r>
      <w:r w:rsidRPr="00631CBD">
        <w:rPr>
          <w:rFonts w:ascii="Arial" w:hAnsi="Arial" w:cs="Arial"/>
          <w:sz w:val="22"/>
          <w:szCs w:val="22"/>
        </w:rPr>
        <w:t xml:space="preserve"> of the power a duty to select from among a class of beneficiaries</w:t>
      </w:r>
      <w:r w:rsidR="004E46B8" w:rsidRPr="00631CBD">
        <w:rPr>
          <w:rFonts w:ascii="Arial" w:hAnsi="Arial" w:cs="Arial"/>
          <w:sz w:val="22"/>
          <w:szCs w:val="22"/>
        </w:rPr>
        <w:t xml:space="preserve"> which of them</w:t>
      </w:r>
      <w:r w:rsidR="00230EFE" w:rsidRPr="00631CBD">
        <w:rPr>
          <w:rFonts w:ascii="Arial" w:hAnsi="Arial" w:cs="Arial"/>
          <w:sz w:val="22"/>
          <w:szCs w:val="22"/>
        </w:rPr>
        <w:t xml:space="preserve"> is to receive a distribution; and</w:t>
      </w:r>
      <w:r w:rsidRPr="00631CBD">
        <w:rPr>
          <w:rFonts w:ascii="Arial" w:hAnsi="Arial" w:cs="Arial"/>
          <w:sz w:val="22"/>
          <w:szCs w:val="22"/>
        </w:rPr>
        <w:t xml:space="preserve">, where appropriate, the proportions in which they are to receive the income </w:t>
      </w:r>
      <w:r w:rsidR="00230EFE" w:rsidRPr="00631CBD">
        <w:rPr>
          <w:rFonts w:ascii="Arial" w:hAnsi="Arial" w:cs="Arial"/>
          <w:sz w:val="22"/>
          <w:szCs w:val="22"/>
        </w:rPr>
        <w:t>or capital of the trust</w:t>
      </w:r>
      <w:r w:rsidRPr="00631CBD">
        <w:rPr>
          <w:rFonts w:ascii="Arial" w:hAnsi="Arial" w:cs="Arial"/>
          <w:sz w:val="22"/>
          <w:szCs w:val="22"/>
        </w:rPr>
        <w:t>.</w:t>
      </w:r>
      <w:r w:rsidRPr="00631CBD">
        <w:rPr>
          <w:rStyle w:val="FootnoteReference"/>
          <w:rFonts w:ascii="Arial" w:hAnsi="Arial" w:cs="Arial"/>
          <w:sz w:val="22"/>
          <w:szCs w:val="22"/>
        </w:rPr>
        <w:footnoteReference w:id="14"/>
      </w:r>
      <w:r w:rsidRPr="00631CBD">
        <w:rPr>
          <w:rFonts w:ascii="Arial" w:hAnsi="Arial" w:cs="Arial"/>
          <w:sz w:val="22"/>
          <w:szCs w:val="22"/>
        </w:rPr>
        <w:t xml:space="preserve">  Where the </w:t>
      </w:r>
      <w:r w:rsidR="00230EFE" w:rsidRPr="00631CBD">
        <w:rPr>
          <w:rFonts w:ascii="Arial" w:hAnsi="Arial" w:cs="Arial"/>
          <w:sz w:val="22"/>
          <w:szCs w:val="22"/>
        </w:rPr>
        <w:t>donee of the power</w:t>
      </w:r>
      <w:r w:rsidRPr="00631CBD">
        <w:rPr>
          <w:rFonts w:ascii="Arial" w:hAnsi="Arial" w:cs="Arial"/>
          <w:sz w:val="22"/>
          <w:szCs w:val="22"/>
        </w:rPr>
        <w:t xml:space="preserve"> does </w:t>
      </w:r>
      <w:r w:rsidR="000304F0" w:rsidRPr="00631CBD">
        <w:rPr>
          <w:rFonts w:ascii="Arial" w:hAnsi="Arial" w:cs="Arial"/>
          <w:sz w:val="22"/>
          <w:szCs w:val="22"/>
        </w:rPr>
        <w:t xml:space="preserve">not </w:t>
      </w:r>
      <w:r w:rsidR="000304F0" w:rsidRPr="00631CBD">
        <w:rPr>
          <w:rFonts w:ascii="Arial" w:hAnsi="Arial" w:cs="Arial"/>
          <w:sz w:val="22"/>
          <w:szCs w:val="22"/>
        </w:rPr>
        <w:lastRenderedPageBreak/>
        <w:t xml:space="preserve">exercise that power, or </w:t>
      </w:r>
      <w:r w:rsidRPr="00631CBD">
        <w:rPr>
          <w:rFonts w:ascii="Arial" w:hAnsi="Arial" w:cs="Arial"/>
          <w:sz w:val="22"/>
          <w:szCs w:val="22"/>
        </w:rPr>
        <w:t>is “absent”, courts will ensure, by one means or another, that t</w:t>
      </w:r>
      <w:r w:rsidR="001B2649" w:rsidRPr="00631CBD">
        <w:rPr>
          <w:rFonts w:ascii="Arial" w:hAnsi="Arial" w:cs="Arial"/>
          <w:sz w:val="22"/>
          <w:szCs w:val="22"/>
        </w:rPr>
        <w:t xml:space="preserve">he trust is carried into effect; </w:t>
      </w:r>
      <w:r w:rsidRPr="00631CBD">
        <w:rPr>
          <w:rFonts w:ascii="Arial" w:hAnsi="Arial" w:cs="Arial"/>
          <w:sz w:val="22"/>
          <w:szCs w:val="22"/>
        </w:rPr>
        <w:t xml:space="preserve"> including by exerci</w:t>
      </w:r>
      <w:r w:rsidR="000304F0" w:rsidRPr="00631CBD">
        <w:rPr>
          <w:rFonts w:ascii="Arial" w:hAnsi="Arial" w:cs="Arial"/>
          <w:sz w:val="22"/>
          <w:szCs w:val="22"/>
        </w:rPr>
        <w:t xml:space="preserve">sing the discretion of the </w:t>
      </w:r>
      <w:r w:rsidR="00230EFE" w:rsidRPr="00631CBD">
        <w:rPr>
          <w:rFonts w:ascii="Arial" w:hAnsi="Arial" w:cs="Arial"/>
          <w:sz w:val="22"/>
          <w:szCs w:val="22"/>
        </w:rPr>
        <w:t>donee</w:t>
      </w:r>
      <w:r w:rsidRPr="00631CBD">
        <w:rPr>
          <w:rFonts w:ascii="Arial" w:hAnsi="Arial" w:cs="Arial"/>
          <w:sz w:val="22"/>
          <w:szCs w:val="22"/>
        </w:rPr>
        <w:t>.</w:t>
      </w:r>
      <w:r w:rsidRPr="00631CBD">
        <w:rPr>
          <w:rStyle w:val="FootnoteReference"/>
          <w:rFonts w:ascii="Arial" w:hAnsi="Arial" w:cs="Arial"/>
          <w:sz w:val="22"/>
          <w:szCs w:val="22"/>
        </w:rPr>
        <w:footnoteReference w:id="15"/>
      </w:r>
    </w:p>
    <w:bookmarkEnd w:id="1"/>
    <w:p w14:paraId="030FF3FB" w14:textId="77777777" w:rsidR="00953A80" w:rsidRPr="00631CBD" w:rsidRDefault="00230EFE" w:rsidP="00631CBD">
      <w:pPr>
        <w:spacing w:line="480" w:lineRule="auto"/>
        <w:rPr>
          <w:rFonts w:ascii="Arial" w:hAnsi="Arial" w:cs="Arial"/>
          <w:b/>
          <w:sz w:val="22"/>
          <w:szCs w:val="22"/>
        </w:rPr>
      </w:pPr>
      <w:r w:rsidRPr="00631CBD">
        <w:rPr>
          <w:rFonts w:ascii="Arial" w:hAnsi="Arial" w:cs="Arial"/>
          <w:sz w:val="22"/>
          <w:szCs w:val="22"/>
        </w:rPr>
        <w:t>The purpose of this paper is to consider the</w:t>
      </w:r>
      <w:r w:rsidR="004E46B8" w:rsidRPr="00631CBD">
        <w:rPr>
          <w:rFonts w:ascii="Arial" w:hAnsi="Arial" w:cs="Arial"/>
          <w:sz w:val="22"/>
          <w:szCs w:val="22"/>
        </w:rPr>
        <w:t>se,</w:t>
      </w:r>
      <w:r w:rsidRPr="00631CBD">
        <w:rPr>
          <w:rFonts w:ascii="Arial" w:hAnsi="Arial" w:cs="Arial"/>
          <w:sz w:val="22"/>
          <w:szCs w:val="22"/>
        </w:rPr>
        <w:t xml:space="preserve"> </w:t>
      </w:r>
      <w:r w:rsidR="004E46B8" w:rsidRPr="00631CBD">
        <w:rPr>
          <w:rFonts w:ascii="Arial" w:hAnsi="Arial" w:cs="Arial"/>
          <w:sz w:val="22"/>
          <w:szCs w:val="22"/>
        </w:rPr>
        <w:t>in a sense, “</w:t>
      </w:r>
      <w:r w:rsidRPr="00631CBD">
        <w:rPr>
          <w:rFonts w:ascii="Arial" w:hAnsi="Arial" w:cs="Arial"/>
          <w:sz w:val="22"/>
          <w:szCs w:val="22"/>
        </w:rPr>
        <w:t>mixed</w:t>
      </w:r>
      <w:r w:rsidR="004E46B8" w:rsidRPr="00631CBD">
        <w:rPr>
          <w:rFonts w:ascii="Arial" w:hAnsi="Arial" w:cs="Arial"/>
          <w:sz w:val="22"/>
          <w:szCs w:val="22"/>
        </w:rPr>
        <w:t>”</w:t>
      </w:r>
      <w:r w:rsidRPr="00631CBD">
        <w:rPr>
          <w:rFonts w:ascii="Arial" w:hAnsi="Arial" w:cs="Arial"/>
          <w:sz w:val="22"/>
          <w:szCs w:val="22"/>
        </w:rPr>
        <w:t xml:space="preserve"> commercial </w:t>
      </w:r>
      <w:r w:rsidR="004E46B8" w:rsidRPr="00631CBD">
        <w:rPr>
          <w:rFonts w:ascii="Arial" w:hAnsi="Arial" w:cs="Arial"/>
          <w:sz w:val="22"/>
          <w:szCs w:val="22"/>
        </w:rPr>
        <w:t xml:space="preserve">purpose </w:t>
      </w:r>
      <w:r w:rsidRPr="00631CBD">
        <w:rPr>
          <w:rFonts w:ascii="Arial" w:hAnsi="Arial" w:cs="Arial"/>
          <w:sz w:val="22"/>
          <w:szCs w:val="22"/>
        </w:rPr>
        <w:t>and charitable trust</w:t>
      </w:r>
      <w:r w:rsidR="004E46B8" w:rsidRPr="00631CBD">
        <w:rPr>
          <w:rFonts w:ascii="Arial" w:hAnsi="Arial" w:cs="Arial"/>
          <w:sz w:val="22"/>
          <w:szCs w:val="22"/>
        </w:rPr>
        <w:t>s,</w:t>
      </w:r>
      <w:r w:rsidRPr="00631CBD">
        <w:rPr>
          <w:rFonts w:ascii="Arial" w:hAnsi="Arial" w:cs="Arial"/>
          <w:sz w:val="22"/>
          <w:szCs w:val="22"/>
        </w:rPr>
        <w:t xml:space="preserve"> to which reference has been made</w:t>
      </w:r>
      <w:r w:rsidR="004E46B8" w:rsidRPr="00631CBD">
        <w:rPr>
          <w:rFonts w:ascii="Arial" w:hAnsi="Arial" w:cs="Arial"/>
          <w:sz w:val="22"/>
          <w:szCs w:val="22"/>
        </w:rPr>
        <w:t>,</w:t>
      </w:r>
      <w:r w:rsidRPr="00631CBD">
        <w:rPr>
          <w:rFonts w:ascii="Arial" w:hAnsi="Arial" w:cs="Arial"/>
          <w:sz w:val="22"/>
          <w:szCs w:val="22"/>
        </w:rPr>
        <w:t xml:space="preserve"> </w:t>
      </w:r>
      <w:r w:rsidR="004E46B8" w:rsidRPr="00631CBD">
        <w:rPr>
          <w:rFonts w:ascii="Arial" w:hAnsi="Arial" w:cs="Arial"/>
          <w:sz w:val="22"/>
          <w:szCs w:val="22"/>
        </w:rPr>
        <w:t>a</w:t>
      </w:r>
      <w:r w:rsidRPr="00631CBD">
        <w:rPr>
          <w:rFonts w:ascii="Arial" w:hAnsi="Arial" w:cs="Arial"/>
          <w:sz w:val="22"/>
          <w:szCs w:val="22"/>
        </w:rPr>
        <w:t>n</w:t>
      </w:r>
      <w:r w:rsidR="004E46B8" w:rsidRPr="00631CBD">
        <w:rPr>
          <w:rFonts w:ascii="Arial" w:hAnsi="Arial" w:cs="Arial"/>
          <w:sz w:val="22"/>
          <w:szCs w:val="22"/>
        </w:rPr>
        <w:t>d</w:t>
      </w:r>
      <w:r w:rsidRPr="00631CBD">
        <w:rPr>
          <w:rFonts w:ascii="Arial" w:hAnsi="Arial" w:cs="Arial"/>
          <w:sz w:val="22"/>
          <w:szCs w:val="22"/>
        </w:rPr>
        <w:t xml:space="preserve"> </w:t>
      </w:r>
      <w:r w:rsidR="004E46B8" w:rsidRPr="00631CBD">
        <w:rPr>
          <w:rFonts w:ascii="Arial" w:hAnsi="Arial" w:cs="Arial"/>
          <w:sz w:val="22"/>
          <w:szCs w:val="22"/>
        </w:rPr>
        <w:t>the consequences of a failure of their commercial purpose.</w:t>
      </w:r>
      <w:r w:rsidR="00AA0361" w:rsidRPr="00631CBD">
        <w:rPr>
          <w:rFonts w:ascii="Arial" w:hAnsi="Arial" w:cs="Arial"/>
          <w:sz w:val="22"/>
          <w:szCs w:val="22"/>
        </w:rPr>
        <w:t xml:space="preserve">  </w:t>
      </w:r>
      <w:r w:rsidR="004E46B8" w:rsidRPr="00631CBD">
        <w:rPr>
          <w:rFonts w:ascii="Arial" w:hAnsi="Arial" w:cs="Arial"/>
          <w:sz w:val="22"/>
          <w:szCs w:val="22"/>
        </w:rPr>
        <w:t xml:space="preserve">These consequences, in turn, depend very much on the terms </w:t>
      </w:r>
      <w:r w:rsidR="00AA0361" w:rsidRPr="00631CBD">
        <w:rPr>
          <w:rFonts w:ascii="Arial" w:hAnsi="Arial" w:cs="Arial"/>
          <w:sz w:val="22"/>
          <w:szCs w:val="22"/>
        </w:rPr>
        <w:t xml:space="preserve">of the trust </w:t>
      </w:r>
      <w:r w:rsidR="004E46B8" w:rsidRPr="00631CBD">
        <w:rPr>
          <w:rFonts w:ascii="Arial" w:hAnsi="Arial" w:cs="Arial"/>
          <w:sz w:val="22"/>
          <w:szCs w:val="22"/>
        </w:rPr>
        <w:t>de</w:t>
      </w:r>
      <w:r w:rsidR="00014D7F" w:rsidRPr="00631CBD">
        <w:rPr>
          <w:rFonts w:ascii="Arial" w:hAnsi="Arial" w:cs="Arial"/>
          <w:sz w:val="22"/>
          <w:szCs w:val="22"/>
        </w:rPr>
        <w:t>ed or instrument.  Broadly, the effect of</w:t>
      </w:r>
      <w:r w:rsidR="004E46B8" w:rsidRPr="00631CBD">
        <w:rPr>
          <w:rFonts w:ascii="Arial" w:hAnsi="Arial" w:cs="Arial"/>
          <w:sz w:val="22"/>
          <w:szCs w:val="22"/>
        </w:rPr>
        <w:t xml:space="preserve"> failure of the commercial purpose may be to provide for a distribution of trust property to charity which can take effect according to the terms of the trust </w:t>
      </w:r>
      <w:r w:rsidR="00AA0361" w:rsidRPr="00631CBD">
        <w:rPr>
          <w:rFonts w:ascii="Arial" w:hAnsi="Arial" w:cs="Arial"/>
          <w:sz w:val="22"/>
          <w:szCs w:val="22"/>
        </w:rPr>
        <w:t>(with or without court assistance</w:t>
      </w:r>
      <w:r w:rsidR="004E46B8" w:rsidRPr="00631CBD">
        <w:rPr>
          <w:rFonts w:ascii="Arial" w:hAnsi="Arial" w:cs="Arial"/>
          <w:sz w:val="22"/>
          <w:szCs w:val="22"/>
        </w:rPr>
        <w:t>, depending on the circumstances</w:t>
      </w:r>
      <w:r w:rsidR="00AA0361" w:rsidRPr="00631CBD">
        <w:rPr>
          <w:rFonts w:ascii="Arial" w:hAnsi="Arial" w:cs="Arial"/>
          <w:sz w:val="22"/>
          <w:szCs w:val="22"/>
        </w:rPr>
        <w:t>)</w:t>
      </w:r>
      <w:r w:rsidR="004E46B8" w:rsidRPr="00631CBD">
        <w:rPr>
          <w:rFonts w:ascii="Arial" w:hAnsi="Arial" w:cs="Arial"/>
          <w:sz w:val="22"/>
          <w:szCs w:val="22"/>
        </w:rPr>
        <w:t>.</w:t>
      </w:r>
      <w:r w:rsidR="00AA0361" w:rsidRPr="00631CBD">
        <w:rPr>
          <w:rFonts w:ascii="Arial" w:hAnsi="Arial" w:cs="Arial"/>
          <w:sz w:val="22"/>
          <w:szCs w:val="22"/>
        </w:rPr>
        <w:t xml:space="preserve">  </w:t>
      </w:r>
      <w:r w:rsidR="004E46B8" w:rsidRPr="00631CBD">
        <w:rPr>
          <w:rFonts w:ascii="Arial" w:hAnsi="Arial" w:cs="Arial"/>
          <w:sz w:val="22"/>
          <w:szCs w:val="22"/>
        </w:rPr>
        <w:t xml:space="preserve">Alternatively, the provision for </w:t>
      </w:r>
      <w:r w:rsidR="00AA0361" w:rsidRPr="00631CBD">
        <w:rPr>
          <w:rFonts w:ascii="Arial" w:hAnsi="Arial" w:cs="Arial"/>
          <w:sz w:val="22"/>
          <w:szCs w:val="22"/>
        </w:rPr>
        <w:t xml:space="preserve">charity </w:t>
      </w:r>
      <w:r w:rsidR="004E46B8" w:rsidRPr="00631CBD">
        <w:rPr>
          <w:rFonts w:ascii="Arial" w:hAnsi="Arial" w:cs="Arial"/>
          <w:sz w:val="22"/>
          <w:szCs w:val="22"/>
        </w:rPr>
        <w:t>may fail</w:t>
      </w:r>
      <w:r w:rsidR="00AA0361" w:rsidRPr="00631CBD">
        <w:rPr>
          <w:rFonts w:ascii="Arial" w:hAnsi="Arial" w:cs="Arial"/>
          <w:sz w:val="22"/>
          <w:szCs w:val="22"/>
        </w:rPr>
        <w:t xml:space="preserve"> b</w:t>
      </w:r>
      <w:r w:rsidR="004E46B8" w:rsidRPr="00631CBD">
        <w:rPr>
          <w:rFonts w:ascii="Arial" w:hAnsi="Arial" w:cs="Arial"/>
          <w:sz w:val="22"/>
          <w:szCs w:val="22"/>
        </w:rPr>
        <w:t>ecause it is not “</w:t>
      </w:r>
      <w:r w:rsidR="00AA0361" w:rsidRPr="00631CBD">
        <w:rPr>
          <w:rFonts w:ascii="Arial" w:hAnsi="Arial" w:cs="Arial"/>
          <w:sz w:val="22"/>
          <w:szCs w:val="22"/>
        </w:rPr>
        <w:t>charitable</w:t>
      </w:r>
      <w:r w:rsidR="004E46B8" w:rsidRPr="00631CBD">
        <w:rPr>
          <w:rFonts w:ascii="Arial" w:hAnsi="Arial" w:cs="Arial"/>
          <w:sz w:val="22"/>
          <w:szCs w:val="22"/>
        </w:rPr>
        <w:t>” in the technical legal sense or the charitable</w:t>
      </w:r>
      <w:r w:rsidR="00AA0361" w:rsidRPr="00631CBD">
        <w:rPr>
          <w:rFonts w:ascii="Arial" w:hAnsi="Arial" w:cs="Arial"/>
          <w:sz w:val="22"/>
          <w:szCs w:val="22"/>
        </w:rPr>
        <w:t xml:space="preserve"> purpose </w:t>
      </w:r>
      <w:r w:rsidR="004E46B8" w:rsidRPr="00631CBD">
        <w:rPr>
          <w:rFonts w:ascii="Arial" w:hAnsi="Arial" w:cs="Arial"/>
          <w:sz w:val="22"/>
          <w:szCs w:val="22"/>
        </w:rPr>
        <w:t>is clear but for various reasons it can only be implemented by utilizing a “scheme” approved by the court.  Finally, there may be no provision made in the trust deed or instrument in the event of the failure of</w:t>
      </w:r>
      <w:r w:rsidR="00AA0361" w:rsidRPr="00631CBD">
        <w:rPr>
          <w:rFonts w:ascii="Arial" w:hAnsi="Arial" w:cs="Arial"/>
          <w:sz w:val="22"/>
          <w:szCs w:val="22"/>
        </w:rPr>
        <w:t xml:space="preserve"> the trust </w:t>
      </w:r>
      <w:r w:rsidR="004E46B8" w:rsidRPr="00631CBD">
        <w:rPr>
          <w:rFonts w:ascii="Arial" w:hAnsi="Arial" w:cs="Arial"/>
          <w:sz w:val="22"/>
          <w:szCs w:val="22"/>
        </w:rPr>
        <w:t xml:space="preserve">as a result of the failure of its commercial </w:t>
      </w:r>
      <w:r w:rsidR="00AA0361" w:rsidRPr="00631CBD">
        <w:rPr>
          <w:rFonts w:ascii="Arial" w:hAnsi="Arial" w:cs="Arial"/>
          <w:sz w:val="22"/>
          <w:szCs w:val="22"/>
        </w:rPr>
        <w:t>p</w:t>
      </w:r>
      <w:r w:rsidR="004E46B8" w:rsidRPr="00631CBD">
        <w:rPr>
          <w:rFonts w:ascii="Arial" w:hAnsi="Arial" w:cs="Arial"/>
          <w:sz w:val="22"/>
          <w:szCs w:val="22"/>
        </w:rPr>
        <w:t>u</w:t>
      </w:r>
      <w:r w:rsidR="00AA0361" w:rsidRPr="00631CBD">
        <w:rPr>
          <w:rFonts w:ascii="Arial" w:hAnsi="Arial" w:cs="Arial"/>
          <w:sz w:val="22"/>
          <w:szCs w:val="22"/>
        </w:rPr>
        <w:t>r</w:t>
      </w:r>
      <w:r w:rsidR="004E46B8" w:rsidRPr="00631CBD">
        <w:rPr>
          <w:rFonts w:ascii="Arial" w:hAnsi="Arial" w:cs="Arial"/>
          <w:sz w:val="22"/>
          <w:szCs w:val="22"/>
        </w:rPr>
        <w:t>p</w:t>
      </w:r>
      <w:r w:rsidR="00AA0361" w:rsidRPr="00631CBD">
        <w:rPr>
          <w:rFonts w:ascii="Arial" w:hAnsi="Arial" w:cs="Arial"/>
          <w:sz w:val="22"/>
          <w:szCs w:val="22"/>
        </w:rPr>
        <w:t>o</w:t>
      </w:r>
      <w:r w:rsidR="004E46B8" w:rsidRPr="00631CBD">
        <w:rPr>
          <w:rFonts w:ascii="Arial" w:hAnsi="Arial" w:cs="Arial"/>
          <w:sz w:val="22"/>
          <w:szCs w:val="22"/>
        </w:rPr>
        <w:t>ses, in which case charity will not figure in the picture.</w:t>
      </w:r>
    </w:p>
    <w:p w14:paraId="160F8FCB" w14:textId="77777777" w:rsidR="00342BB5" w:rsidRPr="00631CBD" w:rsidRDefault="00E320BF" w:rsidP="00631CBD">
      <w:pPr>
        <w:pStyle w:val="Heading2"/>
        <w:spacing w:line="480" w:lineRule="auto"/>
        <w:rPr>
          <w:rFonts w:ascii="Arial" w:hAnsi="Arial" w:cs="Arial"/>
          <w:sz w:val="22"/>
          <w:szCs w:val="22"/>
        </w:rPr>
      </w:pPr>
      <w:bookmarkStart w:id="2" w:name="_Toc285803277"/>
      <w:r w:rsidRPr="00631CBD">
        <w:rPr>
          <w:rFonts w:ascii="Arial" w:hAnsi="Arial" w:cs="Arial"/>
          <w:sz w:val="22"/>
          <w:szCs w:val="22"/>
        </w:rPr>
        <w:lastRenderedPageBreak/>
        <w:t>Construing the trust instrument</w:t>
      </w:r>
      <w:bookmarkEnd w:id="2"/>
    </w:p>
    <w:p w14:paraId="6E0C2DA5" w14:textId="77777777" w:rsidR="006F191F" w:rsidRPr="00631CBD" w:rsidRDefault="00EC6EB9" w:rsidP="00631CBD">
      <w:pPr>
        <w:spacing w:line="480" w:lineRule="auto"/>
        <w:rPr>
          <w:rFonts w:ascii="Arial" w:hAnsi="Arial" w:cs="Arial"/>
          <w:sz w:val="22"/>
          <w:szCs w:val="22"/>
        </w:rPr>
      </w:pPr>
      <w:r w:rsidRPr="00631CBD">
        <w:rPr>
          <w:rFonts w:ascii="Arial" w:hAnsi="Arial" w:cs="Arial"/>
          <w:sz w:val="22"/>
          <w:szCs w:val="22"/>
        </w:rPr>
        <w:t xml:space="preserve">The approach of the courts in construing trust </w:t>
      </w:r>
      <w:r w:rsidR="00823ABC" w:rsidRPr="00631CBD">
        <w:rPr>
          <w:rFonts w:ascii="Arial" w:hAnsi="Arial" w:cs="Arial"/>
          <w:sz w:val="22"/>
          <w:szCs w:val="22"/>
        </w:rPr>
        <w:t xml:space="preserve">deeds or </w:t>
      </w:r>
      <w:r w:rsidR="00B56DC9" w:rsidRPr="00631CBD">
        <w:rPr>
          <w:rFonts w:ascii="Arial" w:hAnsi="Arial" w:cs="Arial"/>
          <w:sz w:val="22"/>
          <w:szCs w:val="22"/>
        </w:rPr>
        <w:t xml:space="preserve">instruments is </w:t>
      </w:r>
      <w:r w:rsidRPr="00631CBD">
        <w:rPr>
          <w:rFonts w:ascii="Arial" w:hAnsi="Arial" w:cs="Arial"/>
          <w:sz w:val="22"/>
          <w:szCs w:val="22"/>
        </w:rPr>
        <w:t xml:space="preserve">epitomized by the statement of </w:t>
      </w:r>
      <w:r w:rsidR="00AA11D6" w:rsidRPr="00631CBD">
        <w:rPr>
          <w:rFonts w:ascii="Arial" w:hAnsi="Arial" w:cs="Arial"/>
          <w:sz w:val="22"/>
          <w:szCs w:val="22"/>
        </w:rPr>
        <w:t>Parker</w:t>
      </w:r>
      <w:r w:rsidRPr="00631CBD">
        <w:rPr>
          <w:rFonts w:ascii="Arial" w:hAnsi="Arial" w:cs="Arial"/>
          <w:sz w:val="22"/>
          <w:szCs w:val="22"/>
        </w:rPr>
        <w:t xml:space="preserve"> J</w:t>
      </w:r>
      <w:r w:rsidR="00AA11D6" w:rsidRPr="00631CBD">
        <w:rPr>
          <w:rFonts w:ascii="Arial" w:hAnsi="Arial" w:cs="Arial"/>
          <w:sz w:val="22"/>
          <w:szCs w:val="22"/>
        </w:rPr>
        <w:t xml:space="preserve"> in</w:t>
      </w:r>
      <w:r w:rsidR="00CF1FFB" w:rsidRPr="00631CBD">
        <w:rPr>
          <w:rFonts w:ascii="Arial" w:hAnsi="Arial" w:cs="Arial"/>
          <w:sz w:val="22"/>
          <w:szCs w:val="22"/>
        </w:rPr>
        <w:t xml:space="preserve"> </w:t>
      </w:r>
      <w:r w:rsidR="00CF1FFB" w:rsidRPr="00631CBD">
        <w:rPr>
          <w:rFonts w:ascii="Arial" w:hAnsi="Arial" w:cs="Arial"/>
          <w:i/>
          <w:sz w:val="22"/>
          <w:szCs w:val="22"/>
        </w:rPr>
        <w:t>Boranga v Flintoff</w:t>
      </w:r>
      <w:r w:rsidR="00AA7181" w:rsidRPr="00631CBD">
        <w:rPr>
          <w:rFonts w:ascii="Arial" w:hAnsi="Arial" w:cs="Arial"/>
          <w:sz w:val="22"/>
          <w:szCs w:val="22"/>
        </w:rPr>
        <w:t xml:space="preserve"> </w:t>
      </w:r>
      <w:r w:rsidR="00DC395E" w:rsidRPr="00631CBD">
        <w:rPr>
          <w:rFonts w:ascii="Arial" w:hAnsi="Arial" w:cs="Arial"/>
          <w:sz w:val="22"/>
          <w:szCs w:val="22"/>
        </w:rPr>
        <w:t>that</w:t>
      </w:r>
      <w:r w:rsidR="00CF1FFB" w:rsidRPr="00631CBD">
        <w:rPr>
          <w:rFonts w:ascii="Arial" w:hAnsi="Arial" w:cs="Arial"/>
          <w:sz w:val="22"/>
          <w:szCs w:val="22"/>
        </w:rPr>
        <w:t>:</w:t>
      </w:r>
      <w:r w:rsidR="009867F3" w:rsidRPr="00631CBD">
        <w:rPr>
          <w:rStyle w:val="FootnoteReference"/>
          <w:rFonts w:ascii="Arial" w:hAnsi="Arial" w:cs="Arial"/>
          <w:sz w:val="22"/>
          <w:szCs w:val="22"/>
        </w:rPr>
        <w:t xml:space="preserve"> </w:t>
      </w:r>
      <w:r w:rsidR="009867F3" w:rsidRPr="00631CBD">
        <w:rPr>
          <w:rStyle w:val="FootnoteReference"/>
          <w:rFonts w:ascii="Arial" w:hAnsi="Arial" w:cs="Arial"/>
          <w:sz w:val="22"/>
          <w:szCs w:val="22"/>
        </w:rPr>
        <w:footnoteReference w:id="16"/>
      </w:r>
    </w:p>
    <w:p w14:paraId="64400E0C" w14:textId="77777777" w:rsidR="00CF1FFB" w:rsidRPr="00631CBD" w:rsidRDefault="00CF1FFB" w:rsidP="00631CBD">
      <w:pPr>
        <w:spacing w:after="360" w:line="480" w:lineRule="auto"/>
        <w:ind w:left="720" w:right="746"/>
        <w:rPr>
          <w:rFonts w:ascii="Arial" w:hAnsi="Arial" w:cs="Arial"/>
          <w:sz w:val="22"/>
          <w:szCs w:val="22"/>
        </w:rPr>
      </w:pPr>
      <w:r w:rsidRPr="00631CBD">
        <w:rPr>
          <w:rFonts w:ascii="Arial" w:hAnsi="Arial" w:cs="Arial"/>
          <w:sz w:val="22"/>
          <w:szCs w:val="22"/>
        </w:rPr>
        <w:t>“</w:t>
      </w:r>
      <w:r w:rsidR="00DC395E" w:rsidRPr="00631CBD">
        <w:rPr>
          <w:rFonts w:ascii="Arial" w:hAnsi="Arial" w:cs="Arial"/>
          <w:sz w:val="22"/>
          <w:szCs w:val="22"/>
        </w:rPr>
        <w:t>[i]</w:t>
      </w:r>
      <w:r w:rsidR="006F191F" w:rsidRPr="00631CBD">
        <w:rPr>
          <w:rFonts w:ascii="Arial" w:hAnsi="Arial" w:cs="Arial"/>
          <w:sz w:val="22"/>
          <w:szCs w:val="22"/>
        </w:rPr>
        <w:t>t</w:t>
      </w:r>
      <w:r w:rsidRPr="00631CBD">
        <w:rPr>
          <w:rFonts w:ascii="Arial" w:hAnsi="Arial" w:cs="Arial"/>
          <w:sz w:val="22"/>
          <w:szCs w:val="22"/>
        </w:rPr>
        <w:t xml:space="preserve"> is trite that the primary task of construction is to endeavo</w:t>
      </w:r>
      <w:r w:rsidR="006F191F" w:rsidRPr="00631CBD">
        <w:rPr>
          <w:rFonts w:ascii="Arial" w:hAnsi="Arial" w:cs="Arial"/>
          <w:sz w:val="22"/>
          <w:szCs w:val="22"/>
        </w:rPr>
        <w:t>u</w:t>
      </w:r>
      <w:r w:rsidRPr="00631CBD">
        <w:rPr>
          <w:rFonts w:ascii="Arial" w:hAnsi="Arial" w:cs="Arial"/>
          <w:sz w:val="22"/>
          <w:szCs w:val="22"/>
        </w:rPr>
        <w:t xml:space="preserve">r to discover the intention of the parties from the words of the instrument. If the words used are unambiguous the Court must give effect to them: </w:t>
      </w:r>
      <w:r w:rsidRPr="00631CBD">
        <w:rPr>
          <w:rFonts w:ascii="Arial" w:hAnsi="Arial" w:cs="Arial"/>
          <w:i/>
          <w:sz w:val="22"/>
          <w:szCs w:val="22"/>
        </w:rPr>
        <w:t>Australian Broadcasting Commission v Australian Performing Right Association Ltd</w:t>
      </w:r>
      <w:r w:rsidRPr="00631CBD">
        <w:rPr>
          <w:rFonts w:ascii="Arial" w:hAnsi="Arial" w:cs="Arial"/>
          <w:sz w:val="22"/>
          <w:szCs w:val="22"/>
        </w:rPr>
        <w:t xml:space="preserve"> (1973) 129 CLR 99 at 109. The general rule is that evidence of surrounding circumstances is admissible to assist in the interpretation of a deed if the language is ambiguous. But evidence of surrounding circumstances is not admissible to contradict the language when it has a plain meaning: </w:t>
      </w:r>
      <w:r w:rsidR="006F191F" w:rsidRPr="00631CBD">
        <w:rPr>
          <w:rFonts w:ascii="Arial" w:hAnsi="Arial" w:cs="Arial"/>
          <w:i/>
          <w:sz w:val="22"/>
          <w:szCs w:val="22"/>
        </w:rPr>
        <w:t>Codelfa</w:t>
      </w:r>
      <w:r w:rsidRPr="00631CBD">
        <w:rPr>
          <w:rFonts w:ascii="Arial" w:hAnsi="Arial" w:cs="Arial"/>
          <w:i/>
          <w:sz w:val="22"/>
          <w:szCs w:val="22"/>
        </w:rPr>
        <w:t xml:space="preserve"> Construction Pty Ltd v State Rail Authority of NSW</w:t>
      </w:r>
      <w:r w:rsidRPr="00631CBD">
        <w:rPr>
          <w:rFonts w:ascii="Arial" w:hAnsi="Arial" w:cs="Arial"/>
          <w:sz w:val="22"/>
          <w:szCs w:val="22"/>
        </w:rPr>
        <w:t xml:space="preserve"> (1982) 149 CLR 337 per Mason J at 347; </w:t>
      </w:r>
      <w:r w:rsidRPr="00631CBD">
        <w:rPr>
          <w:rFonts w:ascii="Arial" w:hAnsi="Arial" w:cs="Arial"/>
          <w:i/>
          <w:sz w:val="22"/>
          <w:szCs w:val="22"/>
        </w:rPr>
        <w:t xml:space="preserve">Southern Resources Ltd v Technomin Australia NL </w:t>
      </w:r>
      <w:r w:rsidRPr="00631CBD">
        <w:rPr>
          <w:rFonts w:ascii="Arial" w:hAnsi="Arial" w:cs="Arial"/>
          <w:sz w:val="22"/>
          <w:szCs w:val="22"/>
        </w:rPr>
        <w:t>[1990] WAR 72. This rule is not absolute. Extrinsic evidence is admissible to identify the meaning of a word:</w:t>
      </w:r>
      <w:r w:rsidRPr="00631CBD">
        <w:rPr>
          <w:rFonts w:ascii="Arial" w:hAnsi="Arial" w:cs="Arial"/>
          <w:i/>
          <w:sz w:val="22"/>
          <w:szCs w:val="22"/>
        </w:rPr>
        <w:t xml:space="preserve"> Life Insurance Co of Australia Ltd v Phillips</w:t>
      </w:r>
      <w:r w:rsidRPr="00631CBD">
        <w:rPr>
          <w:rFonts w:ascii="Arial" w:hAnsi="Arial" w:cs="Arial"/>
          <w:sz w:val="22"/>
          <w:szCs w:val="22"/>
        </w:rPr>
        <w:t xml:space="preserve"> (1925) 36 CLR 60 at 78; </w:t>
      </w:r>
      <w:r w:rsidRPr="00631CBD">
        <w:rPr>
          <w:rFonts w:ascii="Arial" w:hAnsi="Arial" w:cs="Arial"/>
          <w:i/>
          <w:sz w:val="22"/>
          <w:szCs w:val="22"/>
        </w:rPr>
        <w:t>Southern Resources v Technomin Australia NL</w:t>
      </w:r>
      <w:r w:rsidRPr="00631CBD">
        <w:rPr>
          <w:rFonts w:ascii="Arial" w:hAnsi="Arial" w:cs="Arial"/>
          <w:sz w:val="22"/>
          <w:szCs w:val="22"/>
        </w:rPr>
        <w:t xml:space="preserve"> at 84. In particular, evidence of mutually known facts is always admissible even where there is no apparent ambiguity – to prove the meaning of a descriptive term in a written instrument: </w:t>
      </w:r>
      <w:r w:rsidRPr="00631CBD">
        <w:rPr>
          <w:rFonts w:ascii="Arial" w:hAnsi="Arial" w:cs="Arial"/>
          <w:i/>
          <w:sz w:val="22"/>
          <w:szCs w:val="22"/>
        </w:rPr>
        <w:t>Homestate Australia Ltd v Metana Mineral NL</w:t>
      </w:r>
      <w:r w:rsidRPr="00631CBD">
        <w:rPr>
          <w:rFonts w:ascii="Arial" w:hAnsi="Arial" w:cs="Arial"/>
          <w:sz w:val="22"/>
          <w:szCs w:val="22"/>
        </w:rPr>
        <w:t xml:space="preserve"> (1994) 11 WAR 435</w:t>
      </w:r>
      <w:r w:rsidR="006F191F" w:rsidRPr="00631CBD">
        <w:rPr>
          <w:rFonts w:ascii="Arial" w:hAnsi="Arial" w:cs="Arial"/>
          <w:sz w:val="22"/>
          <w:szCs w:val="22"/>
        </w:rPr>
        <w:t xml:space="preserve"> at 447 and cases cited therein.</w:t>
      </w:r>
      <w:r w:rsidRPr="00631CBD">
        <w:rPr>
          <w:rFonts w:ascii="Arial" w:hAnsi="Arial" w:cs="Arial"/>
          <w:sz w:val="22"/>
          <w:szCs w:val="22"/>
        </w:rPr>
        <w:t>”</w:t>
      </w:r>
    </w:p>
    <w:p w14:paraId="0867CCFC" w14:textId="77777777" w:rsidR="00342BB5" w:rsidRPr="00631CBD" w:rsidRDefault="006F191F" w:rsidP="00631CBD">
      <w:pPr>
        <w:spacing w:line="480" w:lineRule="auto"/>
        <w:rPr>
          <w:rFonts w:ascii="Arial" w:hAnsi="Arial" w:cs="Arial"/>
          <w:sz w:val="22"/>
          <w:szCs w:val="22"/>
        </w:rPr>
      </w:pPr>
      <w:r w:rsidRPr="00631CBD">
        <w:rPr>
          <w:rFonts w:ascii="Arial" w:hAnsi="Arial" w:cs="Arial"/>
          <w:sz w:val="22"/>
          <w:szCs w:val="22"/>
        </w:rPr>
        <w:t>Thus,</w:t>
      </w:r>
      <w:r w:rsidR="00CF1FFB" w:rsidRPr="00631CBD">
        <w:rPr>
          <w:rFonts w:ascii="Arial" w:hAnsi="Arial" w:cs="Arial"/>
          <w:sz w:val="22"/>
          <w:szCs w:val="22"/>
        </w:rPr>
        <w:t xml:space="preserve"> </w:t>
      </w:r>
      <w:r w:rsidRPr="00631CBD">
        <w:rPr>
          <w:rFonts w:ascii="Arial" w:hAnsi="Arial" w:cs="Arial"/>
          <w:sz w:val="22"/>
          <w:szCs w:val="22"/>
        </w:rPr>
        <w:t xml:space="preserve">the </w:t>
      </w:r>
      <w:r w:rsidR="00CF1FFB" w:rsidRPr="00631CBD">
        <w:rPr>
          <w:rFonts w:ascii="Arial" w:hAnsi="Arial" w:cs="Arial"/>
          <w:sz w:val="22"/>
          <w:szCs w:val="22"/>
        </w:rPr>
        <w:t xml:space="preserve">primary </w:t>
      </w:r>
      <w:r w:rsidR="00B02490" w:rsidRPr="00631CBD">
        <w:rPr>
          <w:rFonts w:ascii="Arial" w:hAnsi="Arial" w:cs="Arial"/>
          <w:sz w:val="22"/>
          <w:szCs w:val="22"/>
        </w:rPr>
        <w:t>task</w:t>
      </w:r>
      <w:r w:rsidR="00CF1FFB" w:rsidRPr="00631CBD">
        <w:rPr>
          <w:rFonts w:ascii="Arial" w:hAnsi="Arial" w:cs="Arial"/>
          <w:sz w:val="22"/>
          <w:szCs w:val="22"/>
        </w:rPr>
        <w:t xml:space="preserve"> </w:t>
      </w:r>
      <w:r w:rsidRPr="00631CBD">
        <w:rPr>
          <w:rFonts w:ascii="Arial" w:hAnsi="Arial" w:cs="Arial"/>
          <w:sz w:val="22"/>
          <w:szCs w:val="22"/>
        </w:rPr>
        <w:t>of courts is to discern the intention</w:t>
      </w:r>
      <w:r w:rsidR="00CF1FFB" w:rsidRPr="00631CBD">
        <w:rPr>
          <w:rFonts w:ascii="Arial" w:hAnsi="Arial" w:cs="Arial"/>
          <w:sz w:val="22"/>
          <w:szCs w:val="22"/>
        </w:rPr>
        <w:t xml:space="preserve"> of the </w:t>
      </w:r>
      <w:r w:rsidRPr="00631CBD">
        <w:rPr>
          <w:rFonts w:ascii="Arial" w:hAnsi="Arial" w:cs="Arial"/>
          <w:sz w:val="22"/>
          <w:szCs w:val="22"/>
        </w:rPr>
        <w:t>settlor</w:t>
      </w:r>
      <w:r w:rsidR="00CF1FFB" w:rsidRPr="00631CBD">
        <w:rPr>
          <w:rFonts w:ascii="Arial" w:hAnsi="Arial" w:cs="Arial"/>
          <w:sz w:val="22"/>
          <w:szCs w:val="22"/>
        </w:rPr>
        <w:t xml:space="preserve"> from the words of the relevant </w:t>
      </w:r>
      <w:r w:rsidR="000C6BD1" w:rsidRPr="00631CBD">
        <w:rPr>
          <w:rFonts w:ascii="Arial" w:hAnsi="Arial" w:cs="Arial"/>
          <w:sz w:val="22"/>
          <w:szCs w:val="22"/>
        </w:rPr>
        <w:t xml:space="preserve">trust </w:t>
      </w:r>
      <w:r w:rsidR="006B7B62" w:rsidRPr="00631CBD">
        <w:rPr>
          <w:rFonts w:ascii="Arial" w:hAnsi="Arial" w:cs="Arial"/>
          <w:sz w:val="22"/>
          <w:szCs w:val="22"/>
        </w:rPr>
        <w:t>deed</w:t>
      </w:r>
      <w:r w:rsidR="000C6BD1" w:rsidRPr="00631CBD">
        <w:rPr>
          <w:rFonts w:ascii="Arial" w:hAnsi="Arial" w:cs="Arial"/>
          <w:sz w:val="22"/>
          <w:szCs w:val="22"/>
        </w:rPr>
        <w:t xml:space="preserve"> or </w:t>
      </w:r>
      <w:r w:rsidR="00CF1FFB" w:rsidRPr="00631CBD">
        <w:rPr>
          <w:rFonts w:ascii="Arial" w:hAnsi="Arial" w:cs="Arial"/>
          <w:sz w:val="22"/>
          <w:szCs w:val="22"/>
        </w:rPr>
        <w:t>i</w:t>
      </w:r>
      <w:r w:rsidR="006B7B62" w:rsidRPr="00631CBD">
        <w:rPr>
          <w:rFonts w:ascii="Arial" w:hAnsi="Arial" w:cs="Arial"/>
          <w:sz w:val="22"/>
          <w:szCs w:val="22"/>
        </w:rPr>
        <w:t>nstrument</w:t>
      </w:r>
      <w:r w:rsidR="00CF1FFB" w:rsidRPr="00631CBD">
        <w:rPr>
          <w:rFonts w:ascii="Arial" w:hAnsi="Arial" w:cs="Arial"/>
          <w:sz w:val="22"/>
          <w:szCs w:val="22"/>
        </w:rPr>
        <w:t>.</w:t>
      </w:r>
      <w:r w:rsidR="006D5F4D" w:rsidRPr="00631CBD">
        <w:rPr>
          <w:rFonts w:ascii="Arial" w:hAnsi="Arial" w:cs="Arial"/>
          <w:sz w:val="22"/>
          <w:szCs w:val="22"/>
        </w:rPr>
        <w:t xml:space="preserve"> </w:t>
      </w:r>
      <w:r w:rsidR="000C6BD1" w:rsidRPr="00631CBD">
        <w:rPr>
          <w:rFonts w:ascii="Arial" w:hAnsi="Arial" w:cs="Arial"/>
          <w:sz w:val="22"/>
          <w:szCs w:val="22"/>
        </w:rPr>
        <w:t xml:space="preserve"> </w:t>
      </w:r>
      <w:r w:rsidR="00732A5F" w:rsidRPr="00631CBD">
        <w:rPr>
          <w:rFonts w:ascii="Arial" w:hAnsi="Arial" w:cs="Arial"/>
          <w:sz w:val="22"/>
          <w:szCs w:val="22"/>
        </w:rPr>
        <w:t xml:space="preserve">The relevant time for construing the settlor’s intention is “at the time the deed </w:t>
      </w:r>
      <w:r w:rsidR="000C6BD1" w:rsidRPr="00631CBD">
        <w:rPr>
          <w:rFonts w:ascii="Arial" w:hAnsi="Arial" w:cs="Arial"/>
          <w:sz w:val="22"/>
          <w:szCs w:val="22"/>
        </w:rPr>
        <w:t xml:space="preserve">or instrument </w:t>
      </w:r>
      <w:r w:rsidR="00732A5F" w:rsidRPr="00631CBD">
        <w:rPr>
          <w:rFonts w:ascii="Arial" w:hAnsi="Arial" w:cs="Arial"/>
          <w:sz w:val="22"/>
          <w:szCs w:val="22"/>
        </w:rPr>
        <w:t>was entered into".</w:t>
      </w:r>
      <w:r w:rsidR="00161968" w:rsidRPr="00631CBD">
        <w:rPr>
          <w:rStyle w:val="FootnoteReference"/>
          <w:rFonts w:ascii="Arial" w:hAnsi="Arial" w:cs="Arial"/>
          <w:sz w:val="22"/>
          <w:szCs w:val="22"/>
        </w:rPr>
        <w:footnoteReference w:id="17"/>
      </w:r>
      <w:r w:rsidR="006D5F4D" w:rsidRPr="00631CBD">
        <w:rPr>
          <w:rFonts w:ascii="Arial" w:hAnsi="Arial" w:cs="Arial"/>
          <w:sz w:val="22"/>
          <w:szCs w:val="22"/>
        </w:rPr>
        <w:t xml:space="preserve"> </w:t>
      </w:r>
      <w:r w:rsidR="000C6BD1" w:rsidRPr="00631CBD">
        <w:rPr>
          <w:rFonts w:ascii="Arial" w:hAnsi="Arial" w:cs="Arial"/>
          <w:sz w:val="22"/>
          <w:szCs w:val="22"/>
        </w:rPr>
        <w:t xml:space="preserve"> </w:t>
      </w:r>
      <w:r w:rsidR="00FE7537" w:rsidRPr="00631CBD">
        <w:rPr>
          <w:rFonts w:ascii="Arial" w:hAnsi="Arial" w:cs="Arial"/>
          <w:sz w:val="22"/>
          <w:szCs w:val="22"/>
        </w:rPr>
        <w:t>Additionally, in</w:t>
      </w:r>
      <w:r w:rsidR="006D5F4D" w:rsidRPr="00631CBD">
        <w:rPr>
          <w:rFonts w:ascii="Arial" w:hAnsi="Arial" w:cs="Arial"/>
          <w:sz w:val="22"/>
          <w:szCs w:val="22"/>
        </w:rPr>
        <w:t xml:space="preserve"> </w:t>
      </w:r>
      <w:r w:rsidR="006D5F4D" w:rsidRPr="00631CBD">
        <w:rPr>
          <w:rFonts w:ascii="Arial" w:hAnsi="Arial" w:cs="Arial"/>
          <w:sz w:val="22"/>
          <w:szCs w:val="22"/>
        </w:rPr>
        <w:lastRenderedPageBreak/>
        <w:t xml:space="preserve">construing </w:t>
      </w:r>
      <w:r w:rsidR="001E4A1F" w:rsidRPr="00631CBD">
        <w:rPr>
          <w:rFonts w:ascii="Arial" w:hAnsi="Arial" w:cs="Arial"/>
          <w:sz w:val="22"/>
          <w:szCs w:val="22"/>
        </w:rPr>
        <w:t>a</w:t>
      </w:r>
      <w:r w:rsidR="006D5F4D" w:rsidRPr="00631CBD">
        <w:rPr>
          <w:rFonts w:ascii="Arial" w:hAnsi="Arial" w:cs="Arial"/>
          <w:sz w:val="22"/>
          <w:szCs w:val="22"/>
        </w:rPr>
        <w:t xml:space="preserve"> trust deed</w:t>
      </w:r>
      <w:r w:rsidR="006B7B62" w:rsidRPr="00631CBD">
        <w:rPr>
          <w:rFonts w:ascii="Arial" w:hAnsi="Arial" w:cs="Arial"/>
          <w:sz w:val="22"/>
          <w:szCs w:val="22"/>
        </w:rPr>
        <w:t xml:space="preserve"> or instrument</w:t>
      </w:r>
      <w:r w:rsidR="006D5F4D" w:rsidRPr="00631CBD">
        <w:rPr>
          <w:rFonts w:ascii="Arial" w:hAnsi="Arial" w:cs="Arial"/>
          <w:sz w:val="22"/>
          <w:szCs w:val="22"/>
        </w:rPr>
        <w:t>, its provisions must, like any other deed or instrument, be construed as a whole and an interpretation which does not render provisions or parts of provisions in a written instrument redundant is to be preferred to one which has this result.</w:t>
      </w:r>
      <w:r w:rsidR="006D5F4D" w:rsidRPr="00631CBD">
        <w:rPr>
          <w:rStyle w:val="FootnoteReference"/>
          <w:rFonts w:ascii="Arial" w:hAnsi="Arial" w:cs="Arial"/>
          <w:sz w:val="22"/>
          <w:szCs w:val="22"/>
        </w:rPr>
        <w:footnoteReference w:id="18"/>
      </w:r>
      <w:r w:rsidR="006D5F4D" w:rsidRPr="00631CBD">
        <w:rPr>
          <w:rFonts w:ascii="Arial" w:hAnsi="Arial" w:cs="Arial"/>
          <w:sz w:val="22"/>
          <w:szCs w:val="22"/>
        </w:rPr>
        <w:t xml:space="preserve"> </w:t>
      </w:r>
      <w:r w:rsidR="000C6BD1" w:rsidRPr="00631CBD">
        <w:rPr>
          <w:rFonts w:ascii="Arial" w:hAnsi="Arial" w:cs="Arial"/>
          <w:sz w:val="22"/>
          <w:szCs w:val="22"/>
        </w:rPr>
        <w:t xml:space="preserve"> </w:t>
      </w:r>
      <w:r w:rsidR="00F607AD" w:rsidRPr="00631CBD">
        <w:rPr>
          <w:rFonts w:ascii="Arial" w:hAnsi="Arial" w:cs="Arial"/>
          <w:sz w:val="22"/>
          <w:szCs w:val="22"/>
        </w:rPr>
        <w:t xml:space="preserve">If </w:t>
      </w:r>
      <w:r w:rsidR="00CF1FFB" w:rsidRPr="00631CBD">
        <w:rPr>
          <w:rFonts w:ascii="Arial" w:hAnsi="Arial" w:cs="Arial"/>
          <w:sz w:val="22"/>
          <w:szCs w:val="22"/>
        </w:rPr>
        <w:t>the</w:t>
      </w:r>
      <w:r w:rsidRPr="00631CBD">
        <w:rPr>
          <w:rFonts w:ascii="Arial" w:hAnsi="Arial" w:cs="Arial"/>
          <w:sz w:val="22"/>
          <w:szCs w:val="22"/>
        </w:rPr>
        <w:t xml:space="preserve"> words used are unambiguous, </w:t>
      </w:r>
      <w:r w:rsidR="00732A5F" w:rsidRPr="00631CBD">
        <w:rPr>
          <w:rFonts w:ascii="Arial" w:hAnsi="Arial" w:cs="Arial"/>
          <w:sz w:val="22"/>
          <w:szCs w:val="22"/>
        </w:rPr>
        <w:t>they</w:t>
      </w:r>
      <w:r w:rsidR="00CF1FFB" w:rsidRPr="00631CBD">
        <w:rPr>
          <w:rFonts w:ascii="Arial" w:hAnsi="Arial" w:cs="Arial"/>
          <w:sz w:val="22"/>
          <w:szCs w:val="22"/>
        </w:rPr>
        <w:t xml:space="preserve"> must </w:t>
      </w:r>
      <w:r w:rsidR="00732A5F" w:rsidRPr="00631CBD">
        <w:rPr>
          <w:rFonts w:ascii="Arial" w:hAnsi="Arial" w:cs="Arial"/>
          <w:sz w:val="22"/>
          <w:szCs w:val="22"/>
        </w:rPr>
        <w:t xml:space="preserve">be </w:t>
      </w:r>
      <w:r w:rsidR="00CF1FFB" w:rsidRPr="00631CBD">
        <w:rPr>
          <w:rFonts w:ascii="Arial" w:hAnsi="Arial" w:cs="Arial"/>
          <w:sz w:val="22"/>
          <w:szCs w:val="22"/>
        </w:rPr>
        <w:t>give</w:t>
      </w:r>
      <w:r w:rsidR="006D5F4D" w:rsidRPr="00631CBD">
        <w:rPr>
          <w:rFonts w:ascii="Arial" w:hAnsi="Arial" w:cs="Arial"/>
          <w:sz w:val="22"/>
          <w:szCs w:val="22"/>
        </w:rPr>
        <w:t>n</w:t>
      </w:r>
      <w:r w:rsidR="00CF1FFB" w:rsidRPr="00631CBD">
        <w:rPr>
          <w:rFonts w:ascii="Arial" w:hAnsi="Arial" w:cs="Arial"/>
          <w:sz w:val="22"/>
          <w:szCs w:val="22"/>
        </w:rPr>
        <w:t xml:space="preserve"> effect.</w:t>
      </w:r>
      <w:r w:rsidR="000C6BD1" w:rsidRPr="00631CBD">
        <w:rPr>
          <w:rFonts w:ascii="Arial" w:hAnsi="Arial" w:cs="Arial"/>
          <w:sz w:val="22"/>
          <w:szCs w:val="22"/>
        </w:rPr>
        <w:t xml:space="preserve"> </w:t>
      </w:r>
      <w:r w:rsidR="00CF1FFB" w:rsidRPr="00631CBD">
        <w:rPr>
          <w:rFonts w:ascii="Arial" w:hAnsi="Arial" w:cs="Arial"/>
          <w:sz w:val="22"/>
          <w:szCs w:val="22"/>
        </w:rPr>
        <w:t xml:space="preserve"> </w:t>
      </w:r>
      <w:r w:rsidR="00732A5F" w:rsidRPr="00631CBD">
        <w:rPr>
          <w:rFonts w:ascii="Arial" w:hAnsi="Arial" w:cs="Arial"/>
          <w:sz w:val="22"/>
          <w:szCs w:val="22"/>
        </w:rPr>
        <w:t>However, w</w:t>
      </w:r>
      <w:r w:rsidR="00CF1FFB" w:rsidRPr="00631CBD">
        <w:rPr>
          <w:rFonts w:ascii="Arial" w:hAnsi="Arial" w:cs="Arial"/>
          <w:sz w:val="22"/>
          <w:szCs w:val="22"/>
        </w:rPr>
        <w:t>here the words used are ambiguous, evidence of surrounding circumstances is admissible to assist in the interpretatio</w:t>
      </w:r>
      <w:r w:rsidR="000C6BD1" w:rsidRPr="00631CBD">
        <w:rPr>
          <w:rFonts w:ascii="Arial" w:hAnsi="Arial" w:cs="Arial"/>
          <w:sz w:val="22"/>
          <w:szCs w:val="22"/>
        </w:rPr>
        <w:t>n of the trust deed or instrument</w:t>
      </w:r>
      <w:r w:rsidR="00CF1FFB" w:rsidRPr="00631CBD">
        <w:rPr>
          <w:rFonts w:ascii="Arial" w:hAnsi="Arial" w:cs="Arial"/>
          <w:sz w:val="22"/>
          <w:szCs w:val="22"/>
        </w:rPr>
        <w:t>.</w:t>
      </w:r>
      <w:r w:rsidR="000C6BD1" w:rsidRPr="00631CBD">
        <w:rPr>
          <w:rFonts w:ascii="Arial" w:hAnsi="Arial" w:cs="Arial"/>
          <w:sz w:val="22"/>
          <w:szCs w:val="22"/>
        </w:rPr>
        <w:t xml:space="preserve"> </w:t>
      </w:r>
      <w:r w:rsidRPr="00631CBD">
        <w:rPr>
          <w:rFonts w:ascii="Arial" w:hAnsi="Arial" w:cs="Arial"/>
          <w:sz w:val="22"/>
          <w:szCs w:val="22"/>
        </w:rPr>
        <w:t xml:space="preserve"> If there is such a level of ambiguity</w:t>
      </w:r>
      <w:r w:rsidR="00732A5F" w:rsidRPr="00631CBD">
        <w:rPr>
          <w:rFonts w:ascii="Arial" w:hAnsi="Arial" w:cs="Arial"/>
          <w:sz w:val="22"/>
          <w:szCs w:val="22"/>
        </w:rPr>
        <w:t xml:space="preserve"> that the words cannot be given a meaning,</w:t>
      </w:r>
      <w:r w:rsidR="003F53F4" w:rsidRPr="00631CBD">
        <w:rPr>
          <w:rFonts w:ascii="Arial" w:hAnsi="Arial" w:cs="Arial"/>
          <w:sz w:val="22"/>
          <w:szCs w:val="22"/>
        </w:rPr>
        <w:t xml:space="preserve"> even with reference to such evidence,</w:t>
      </w:r>
      <w:r w:rsidR="00732A5F" w:rsidRPr="00631CBD">
        <w:rPr>
          <w:rFonts w:ascii="Arial" w:hAnsi="Arial" w:cs="Arial"/>
          <w:sz w:val="22"/>
          <w:szCs w:val="22"/>
        </w:rPr>
        <w:t xml:space="preserve"> it may be that the trust will fail for uncertainty</w:t>
      </w:r>
      <w:r w:rsidR="000C6BD1" w:rsidRPr="00631CBD">
        <w:rPr>
          <w:rFonts w:ascii="Arial" w:hAnsi="Arial" w:cs="Arial"/>
          <w:sz w:val="22"/>
          <w:szCs w:val="22"/>
        </w:rPr>
        <w:t xml:space="preserve"> at this point</w:t>
      </w:r>
      <w:r w:rsidR="00732A5F" w:rsidRPr="00631CBD">
        <w:rPr>
          <w:rFonts w:ascii="Arial" w:hAnsi="Arial" w:cs="Arial"/>
          <w:sz w:val="22"/>
          <w:szCs w:val="22"/>
        </w:rPr>
        <w:t>.</w:t>
      </w:r>
    </w:p>
    <w:p w14:paraId="112FA53C" w14:textId="77777777" w:rsidR="00953A80" w:rsidRPr="00631CBD" w:rsidRDefault="00953A80" w:rsidP="00631CBD">
      <w:pPr>
        <w:pStyle w:val="Heading2"/>
        <w:spacing w:line="480" w:lineRule="auto"/>
        <w:rPr>
          <w:rFonts w:ascii="Arial" w:hAnsi="Arial" w:cs="Arial"/>
          <w:sz w:val="22"/>
          <w:szCs w:val="22"/>
        </w:rPr>
      </w:pPr>
      <w:bookmarkStart w:id="3" w:name="_Toc285803278"/>
      <w:r w:rsidRPr="00631CBD">
        <w:rPr>
          <w:rFonts w:ascii="Arial" w:hAnsi="Arial" w:cs="Arial"/>
          <w:sz w:val="22"/>
          <w:szCs w:val="22"/>
        </w:rPr>
        <w:t>Employee incentive plans</w:t>
      </w:r>
      <w:bookmarkEnd w:id="3"/>
    </w:p>
    <w:p w14:paraId="6BE29F6C" w14:textId="77777777" w:rsidR="00953A80" w:rsidRPr="00631CBD" w:rsidRDefault="00953A80" w:rsidP="00631CBD">
      <w:pPr>
        <w:spacing w:after="360" w:line="480" w:lineRule="auto"/>
        <w:rPr>
          <w:rFonts w:ascii="Arial" w:hAnsi="Arial" w:cs="Arial"/>
          <w:sz w:val="22"/>
          <w:szCs w:val="22"/>
        </w:rPr>
      </w:pPr>
      <w:r w:rsidRPr="00631CBD">
        <w:rPr>
          <w:rFonts w:ascii="Arial" w:hAnsi="Arial" w:cs="Arial"/>
          <w:sz w:val="22"/>
          <w:szCs w:val="22"/>
        </w:rPr>
        <w:t xml:space="preserve">Perhaps </w:t>
      </w:r>
      <w:r w:rsidR="000C6BD1" w:rsidRPr="00631CBD">
        <w:rPr>
          <w:rFonts w:ascii="Arial" w:hAnsi="Arial" w:cs="Arial"/>
          <w:sz w:val="22"/>
          <w:szCs w:val="22"/>
        </w:rPr>
        <w:t xml:space="preserve">one of </w:t>
      </w:r>
      <w:r w:rsidRPr="00631CBD">
        <w:rPr>
          <w:rFonts w:ascii="Arial" w:hAnsi="Arial" w:cs="Arial"/>
          <w:sz w:val="22"/>
          <w:szCs w:val="22"/>
        </w:rPr>
        <w:t>the most prominent example</w:t>
      </w:r>
      <w:r w:rsidR="000C6BD1" w:rsidRPr="00631CBD">
        <w:rPr>
          <w:rFonts w:ascii="Arial" w:hAnsi="Arial" w:cs="Arial"/>
          <w:sz w:val="22"/>
          <w:szCs w:val="22"/>
        </w:rPr>
        <w:t>s</w:t>
      </w:r>
      <w:r w:rsidRPr="00631CBD">
        <w:rPr>
          <w:rFonts w:ascii="Arial" w:hAnsi="Arial" w:cs="Arial"/>
          <w:sz w:val="22"/>
          <w:szCs w:val="22"/>
        </w:rPr>
        <w:t xml:space="preserve"> of trusts which </w:t>
      </w:r>
      <w:r w:rsidR="000C6BD1" w:rsidRPr="00631CBD">
        <w:rPr>
          <w:rFonts w:ascii="Arial" w:hAnsi="Arial" w:cs="Arial"/>
          <w:sz w:val="22"/>
          <w:szCs w:val="22"/>
        </w:rPr>
        <w:t>name</w:t>
      </w:r>
      <w:r w:rsidRPr="00631CBD">
        <w:rPr>
          <w:rFonts w:ascii="Arial" w:hAnsi="Arial" w:cs="Arial"/>
          <w:sz w:val="22"/>
          <w:szCs w:val="22"/>
        </w:rPr>
        <w:t xml:space="preserve"> charities </w:t>
      </w:r>
      <w:r w:rsidR="000C6BD1" w:rsidRPr="00631CBD">
        <w:rPr>
          <w:rFonts w:ascii="Arial" w:hAnsi="Arial" w:cs="Arial"/>
          <w:sz w:val="22"/>
          <w:szCs w:val="22"/>
        </w:rPr>
        <w:t xml:space="preserve">or charity, more broadly, </w:t>
      </w:r>
      <w:r w:rsidRPr="00631CBD">
        <w:rPr>
          <w:rFonts w:ascii="Arial" w:hAnsi="Arial" w:cs="Arial"/>
          <w:sz w:val="22"/>
          <w:szCs w:val="22"/>
        </w:rPr>
        <w:t xml:space="preserve">as </w:t>
      </w:r>
      <w:r w:rsidR="000C6BD1" w:rsidRPr="00631CBD">
        <w:rPr>
          <w:rFonts w:ascii="Arial" w:hAnsi="Arial" w:cs="Arial"/>
          <w:sz w:val="22"/>
          <w:szCs w:val="22"/>
        </w:rPr>
        <w:t xml:space="preserve">a </w:t>
      </w:r>
      <w:r w:rsidR="006B7B62" w:rsidRPr="00631CBD">
        <w:rPr>
          <w:rFonts w:ascii="Arial" w:hAnsi="Arial" w:cs="Arial"/>
          <w:sz w:val="22"/>
          <w:szCs w:val="22"/>
        </w:rPr>
        <w:t>potential</w:t>
      </w:r>
      <w:r w:rsidR="000C6BD1" w:rsidRPr="00631CBD">
        <w:rPr>
          <w:rFonts w:ascii="Arial" w:hAnsi="Arial" w:cs="Arial"/>
          <w:sz w:val="22"/>
          <w:szCs w:val="22"/>
        </w:rPr>
        <w:t xml:space="preserve"> beneficiary</w:t>
      </w:r>
      <w:r w:rsidRPr="00631CBD">
        <w:rPr>
          <w:rFonts w:ascii="Arial" w:hAnsi="Arial" w:cs="Arial"/>
          <w:sz w:val="22"/>
          <w:szCs w:val="22"/>
        </w:rPr>
        <w:t xml:space="preserve"> </w:t>
      </w:r>
      <w:r w:rsidR="006B7B62" w:rsidRPr="00631CBD">
        <w:rPr>
          <w:rFonts w:ascii="Arial" w:hAnsi="Arial" w:cs="Arial"/>
          <w:sz w:val="22"/>
          <w:szCs w:val="22"/>
        </w:rPr>
        <w:t xml:space="preserve">or beneficiaries </w:t>
      </w:r>
      <w:r w:rsidRPr="00631CBD">
        <w:rPr>
          <w:rFonts w:ascii="Arial" w:hAnsi="Arial" w:cs="Arial"/>
          <w:sz w:val="22"/>
          <w:szCs w:val="22"/>
        </w:rPr>
        <w:t xml:space="preserve">are those utilised in employee incentive schemes. </w:t>
      </w:r>
      <w:r w:rsidR="000C6BD1" w:rsidRPr="00631CBD">
        <w:rPr>
          <w:rFonts w:ascii="Arial" w:hAnsi="Arial" w:cs="Arial"/>
          <w:sz w:val="22"/>
          <w:szCs w:val="22"/>
        </w:rPr>
        <w:t xml:space="preserve"> </w:t>
      </w:r>
      <w:r w:rsidRPr="00631CBD">
        <w:rPr>
          <w:rFonts w:ascii="Arial" w:hAnsi="Arial" w:cs="Arial"/>
          <w:sz w:val="22"/>
          <w:szCs w:val="22"/>
        </w:rPr>
        <w:t xml:space="preserve">As is no doubt apparent, schemes in which some form of </w:t>
      </w:r>
      <w:r w:rsidR="006B7B62" w:rsidRPr="00631CBD">
        <w:rPr>
          <w:rFonts w:ascii="Arial" w:hAnsi="Arial" w:cs="Arial"/>
          <w:sz w:val="22"/>
          <w:szCs w:val="22"/>
        </w:rPr>
        <w:t xml:space="preserve">benefit such as </w:t>
      </w:r>
      <w:r w:rsidRPr="00631CBD">
        <w:rPr>
          <w:rFonts w:ascii="Arial" w:hAnsi="Arial" w:cs="Arial"/>
          <w:sz w:val="22"/>
          <w:szCs w:val="22"/>
        </w:rPr>
        <w:t>share</w:t>
      </w:r>
      <w:r w:rsidR="006B7B62" w:rsidRPr="00631CBD">
        <w:rPr>
          <w:rFonts w:ascii="Arial" w:hAnsi="Arial" w:cs="Arial"/>
          <w:sz w:val="22"/>
          <w:szCs w:val="22"/>
        </w:rPr>
        <w:t>s</w:t>
      </w:r>
      <w:r w:rsidRPr="00631CBD">
        <w:rPr>
          <w:rFonts w:ascii="Arial" w:hAnsi="Arial" w:cs="Arial"/>
          <w:sz w:val="22"/>
          <w:szCs w:val="22"/>
        </w:rPr>
        <w:t xml:space="preserve">, rights, </w:t>
      </w:r>
      <w:r w:rsidR="006B7B62" w:rsidRPr="00631CBD">
        <w:rPr>
          <w:rFonts w:ascii="Arial" w:hAnsi="Arial" w:cs="Arial"/>
          <w:sz w:val="22"/>
          <w:szCs w:val="22"/>
        </w:rPr>
        <w:t>securities or</w:t>
      </w:r>
      <w:r w:rsidRPr="00631CBD">
        <w:rPr>
          <w:rFonts w:ascii="Arial" w:hAnsi="Arial" w:cs="Arial"/>
          <w:sz w:val="22"/>
          <w:szCs w:val="22"/>
        </w:rPr>
        <w:t xml:space="preserve"> </w:t>
      </w:r>
      <w:r w:rsidR="006B7B62" w:rsidRPr="00631CBD">
        <w:rPr>
          <w:rFonts w:ascii="Arial" w:hAnsi="Arial" w:cs="Arial"/>
          <w:sz w:val="22"/>
          <w:szCs w:val="22"/>
        </w:rPr>
        <w:t xml:space="preserve">cash </w:t>
      </w:r>
      <w:r w:rsidRPr="00631CBD">
        <w:rPr>
          <w:rFonts w:ascii="Arial" w:hAnsi="Arial" w:cs="Arial"/>
          <w:sz w:val="22"/>
          <w:szCs w:val="22"/>
        </w:rPr>
        <w:t xml:space="preserve">vests in employees are highly significant commercially. </w:t>
      </w:r>
      <w:r w:rsidR="000C6BD1" w:rsidRPr="00631CBD">
        <w:rPr>
          <w:rFonts w:ascii="Arial" w:hAnsi="Arial" w:cs="Arial"/>
          <w:sz w:val="22"/>
          <w:szCs w:val="22"/>
        </w:rPr>
        <w:t xml:space="preserve"> Use of</w:t>
      </w:r>
      <w:r w:rsidRPr="00631CBD">
        <w:rPr>
          <w:rFonts w:ascii="Arial" w:hAnsi="Arial" w:cs="Arial"/>
          <w:sz w:val="22"/>
          <w:szCs w:val="22"/>
        </w:rPr>
        <w:t xml:space="preserve"> this type of scheme allows employers to guarantee the provision of both short</w:t>
      </w:r>
      <w:r w:rsidR="000C6BD1" w:rsidRPr="00631CBD">
        <w:rPr>
          <w:rFonts w:ascii="Arial" w:hAnsi="Arial" w:cs="Arial"/>
          <w:sz w:val="22"/>
          <w:szCs w:val="22"/>
        </w:rPr>
        <w:t xml:space="preserve"> and long-term incentive programs for</w:t>
      </w:r>
      <w:r w:rsidRPr="00631CBD">
        <w:rPr>
          <w:rFonts w:ascii="Arial" w:hAnsi="Arial" w:cs="Arial"/>
          <w:sz w:val="22"/>
          <w:szCs w:val="22"/>
        </w:rPr>
        <w:t xml:space="preserve"> employees</w:t>
      </w:r>
      <w:r w:rsidR="000C6BD1" w:rsidRPr="00631CBD">
        <w:rPr>
          <w:rFonts w:ascii="Arial" w:hAnsi="Arial" w:cs="Arial"/>
          <w:sz w:val="22"/>
          <w:szCs w:val="22"/>
        </w:rPr>
        <w:t>;  intended to encourage them to “work harder and stay longer”</w:t>
      </w:r>
      <w:r w:rsidRPr="00631CBD">
        <w:rPr>
          <w:rFonts w:ascii="Arial" w:hAnsi="Arial" w:cs="Arial"/>
          <w:sz w:val="22"/>
          <w:szCs w:val="22"/>
        </w:rPr>
        <w:t>.</w:t>
      </w:r>
      <w:r w:rsidR="000C6BD1" w:rsidRPr="00631CBD">
        <w:rPr>
          <w:rFonts w:ascii="Arial" w:hAnsi="Arial" w:cs="Arial"/>
          <w:sz w:val="22"/>
          <w:szCs w:val="22"/>
        </w:rPr>
        <w:t xml:space="preserve"> </w:t>
      </w:r>
      <w:r w:rsidRPr="00631CBD">
        <w:rPr>
          <w:rFonts w:ascii="Arial" w:hAnsi="Arial" w:cs="Arial"/>
          <w:sz w:val="22"/>
          <w:szCs w:val="22"/>
        </w:rPr>
        <w:t xml:space="preserve"> </w:t>
      </w:r>
      <w:r w:rsidR="000C6BD1" w:rsidRPr="00631CBD">
        <w:rPr>
          <w:rFonts w:ascii="Arial" w:hAnsi="Arial" w:cs="Arial"/>
          <w:sz w:val="22"/>
          <w:szCs w:val="22"/>
        </w:rPr>
        <w:t>This</w:t>
      </w:r>
      <w:r w:rsidRPr="00631CBD">
        <w:rPr>
          <w:rFonts w:ascii="Arial" w:hAnsi="Arial" w:cs="Arial"/>
          <w:sz w:val="22"/>
          <w:szCs w:val="22"/>
        </w:rPr>
        <w:t xml:space="preserve"> also allows employers to make </w:t>
      </w:r>
      <w:r w:rsidR="000C6BD1" w:rsidRPr="00631CBD">
        <w:rPr>
          <w:rFonts w:ascii="Arial" w:hAnsi="Arial" w:cs="Arial"/>
          <w:sz w:val="22"/>
          <w:szCs w:val="22"/>
        </w:rPr>
        <w:t xml:space="preserve">better </w:t>
      </w:r>
      <w:r w:rsidRPr="00631CBD">
        <w:rPr>
          <w:rFonts w:ascii="Arial" w:hAnsi="Arial" w:cs="Arial"/>
          <w:sz w:val="22"/>
          <w:szCs w:val="22"/>
        </w:rPr>
        <w:t xml:space="preserve">strategic management and resourcing decisions, and to influence staffing outcomes in </w:t>
      </w:r>
      <w:r w:rsidR="00823ABC" w:rsidRPr="00631CBD">
        <w:rPr>
          <w:rFonts w:ascii="Arial" w:hAnsi="Arial" w:cs="Arial"/>
          <w:sz w:val="22"/>
          <w:szCs w:val="22"/>
        </w:rPr>
        <w:t>their</w:t>
      </w:r>
      <w:r w:rsidRPr="00631CBD">
        <w:rPr>
          <w:rFonts w:ascii="Arial" w:hAnsi="Arial" w:cs="Arial"/>
          <w:sz w:val="22"/>
          <w:szCs w:val="22"/>
        </w:rPr>
        <w:t xml:space="preserve"> favour, whilst simultaneously maximising employee performance and return.</w:t>
      </w:r>
      <w:r w:rsidR="000C6BD1" w:rsidRPr="00631CBD">
        <w:rPr>
          <w:rFonts w:ascii="Arial" w:hAnsi="Arial" w:cs="Arial"/>
          <w:sz w:val="22"/>
          <w:szCs w:val="22"/>
        </w:rPr>
        <w:t xml:space="preserve"> </w:t>
      </w:r>
      <w:r w:rsidRPr="00631CBD">
        <w:rPr>
          <w:rFonts w:ascii="Arial" w:hAnsi="Arial" w:cs="Arial"/>
          <w:sz w:val="22"/>
          <w:szCs w:val="22"/>
        </w:rPr>
        <w:t xml:space="preserve"> Employees stand to benefit financially from </w:t>
      </w:r>
      <w:r w:rsidR="000C6BD1" w:rsidRPr="00631CBD">
        <w:rPr>
          <w:rFonts w:ascii="Arial" w:hAnsi="Arial" w:cs="Arial"/>
          <w:sz w:val="22"/>
          <w:szCs w:val="22"/>
        </w:rPr>
        <w:t>these</w:t>
      </w:r>
      <w:r w:rsidRPr="00631CBD">
        <w:rPr>
          <w:rFonts w:ascii="Arial" w:hAnsi="Arial" w:cs="Arial"/>
          <w:sz w:val="22"/>
          <w:szCs w:val="22"/>
        </w:rPr>
        <w:t xml:space="preserve"> schemes, which</w:t>
      </w:r>
      <w:r w:rsidR="000C6BD1" w:rsidRPr="00631CBD">
        <w:rPr>
          <w:rFonts w:ascii="Arial" w:hAnsi="Arial" w:cs="Arial"/>
          <w:sz w:val="22"/>
          <w:szCs w:val="22"/>
        </w:rPr>
        <w:t>, if effective, will</w:t>
      </w:r>
      <w:r w:rsidRPr="00631CBD">
        <w:rPr>
          <w:rFonts w:ascii="Arial" w:hAnsi="Arial" w:cs="Arial"/>
          <w:sz w:val="22"/>
          <w:szCs w:val="22"/>
        </w:rPr>
        <w:t xml:space="preserve"> provide </w:t>
      </w:r>
      <w:r w:rsidRPr="00631CBD">
        <w:rPr>
          <w:rFonts w:ascii="Arial" w:hAnsi="Arial" w:cs="Arial"/>
          <w:sz w:val="22"/>
          <w:szCs w:val="22"/>
        </w:rPr>
        <w:lastRenderedPageBreak/>
        <w:t xml:space="preserve">greater incentives for good work performance, and reward longer periods of service to the one employer. </w:t>
      </w:r>
      <w:r w:rsidR="000C6BD1" w:rsidRPr="00631CBD">
        <w:rPr>
          <w:rFonts w:ascii="Arial" w:hAnsi="Arial" w:cs="Arial"/>
          <w:sz w:val="22"/>
          <w:szCs w:val="22"/>
        </w:rPr>
        <w:t xml:space="preserve"> </w:t>
      </w:r>
      <w:r w:rsidRPr="00631CBD">
        <w:rPr>
          <w:rFonts w:ascii="Arial" w:hAnsi="Arial" w:cs="Arial"/>
          <w:sz w:val="22"/>
          <w:szCs w:val="22"/>
        </w:rPr>
        <w:t xml:space="preserve">As a result, employers </w:t>
      </w:r>
      <w:r w:rsidR="006B7B62" w:rsidRPr="00631CBD">
        <w:rPr>
          <w:rFonts w:ascii="Arial" w:hAnsi="Arial" w:cs="Arial"/>
          <w:sz w:val="22"/>
          <w:szCs w:val="22"/>
        </w:rPr>
        <w:t xml:space="preserve">also </w:t>
      </w:r>
      <w:r w:rsidRPr="00631CBD">
        <w:rPr>
          <w:rFonts w:ascii="Arial" w:hAnsi="Arial" w:cs="Arial"/>
          <w:sz w:val="22"/>
          <w:szCs w:val="22"/>
        </w:rPr>
        <w:t xml:space="preserve">gain through attracting and, particularly, retaining, talented employees, </w:t>
      </w:r>
      <w:r w:rsidR="000C6BD1" w:rsidRPr="00631CBD">
        <w:rPr>
          <w:rFonts w:ascii="Arial" w:hAnsi="Arial" w:cs="Arial"/>
          <w:sz w:val="22"/>
          <w:szCs w:val="22"/>
        </w:rPr>
        <w:t>and all the benefits which flow from this</w:t>
      </w:r>
      <w:r w:rsidRPr="00631CBD">
        <w:rPr>
          <w:rFonts w:ascii="Arial" w:hAnsi="Arial" w:cs="Arial"/>
          <w:sz w:val="22"/>
          <w:szCs w:val="22"/>
        </w:rPr>
        <w:t>.</w:t>
      </w:r>
    </w:p>
    <w:p w14:paraId="700AEE03" w14:textId="77777777" w:rsidR="00953A80" w:rsidRPr="00631CBD" w:rsidRDefault="00953A80" w:rsidP="00631CBD">
      <w:pPr>
        <w:spacing w:after="360" w:line="480" w:lineRule="auto"/>
        <w:rPr>
          <w:rFonts w:ascii="Arial" w:hAnsi="Arial" w:cs="Arial"/>
          <w:sz w:val="22"/>
          <w:szCs w:val="22"/>
        </w:rPr>
      </w:pPr>
      <w:r w:rsidRPr="00631CBD">
        <w:rPr>
          <w:rFonts w:ascii="Arial" w:hAnsi="Arial" w:cs="Arial"/>
          <w:sz w:val="22"/>
          <w:szCs w:val="22"/>
        </w:rPr>
        <w:t xml:space="preserve">There is little in the way of </w:t>
      </w:r>
      <w:r w:rsidR="000C6BD1" w:rsidRPr="00631CBD">
        <w:rPr>
          <w:rFonts w:ascii="Arial" w:hAnsi="Arial" w:cs="Arial"/>
          <w:sz w:val="22"/>
          <w:szCs w:val="22"/>
        </w:rPr>
        <w:t xml:space="preserve">case law </w:t>
      </w:r>
      <w:r w:rsidRPr="00631CBD">
        <w:rPr>
          <w:rFonts w:ascii="Arial" w:hAnsi="Arial" w:cs="Arial"/>
          <w:sz w:val="22"/>
          <w:szCs w:val="22"/>
        </w:rPr>
        <w:t>specifically relating to employee incentive schemes</w:t>
      </w:r>
      <w:r w:rsidR="000C6BD1" w:rsidRPr="00631CBD">
        <w:rPr>
          <w:rFonts w:ascii="Arial" w:hAnsi="Arial" w:cs="Arial"/>
          <w:sz w:val="22"/>
          <w:szCs w:val="22"/>
        </w:rPr>
        <w:t xml:space="preserve"> in the present context</w:t>
      </w:r>
      <w:r w:rsidRPr="00631CBD">
        <w:rPr>
          <w:rFonts w:ascii="Arial" w:hAnsi="Arial" w:cs="Arial"/>
          <w:sz w:val="22"/>
          <w:szCs w:val="22"/>
        </w:rPr>
        <w:t>.</w:t>
      </w:r>
      <w:r w:rsidR="000C6BD1" w:rsidRPr="00631CBD">
        <w:rPr>
          <w:rFonts w:ascii="Arial" w:hAnsi="Arial" w:cs="Arial"/>
          <w:sz w:val="22"/>
          <w:szCs w:val="22"/>
        </w:rPr>
        <w:t xml:space="preserve"> </w:t>
      </w:r>
      <w:r w:rsidR="00942F73" w:rsidRPr="00631CBD">
        <w:rPr>
          <w:rFonts w:ascii="Arial" w:hAnsi="Arial" w:cs="Arial"/>
          <w:sz w:val="22"/>
          <w:szCs w:val="22"/>
        </w:rPr>
        <w:t xml:space="preserve"> </w:t>
      </w:r>
      <w:r w:rsidR="006B7B62" w:rsidRPr="00631CBD">
        <w:rPr>
          <w:rFonts w:ascii="Arial" w:hAnsi="Arial" w:cs="Arial"/>
          <w:sz w:val="22"/>
          <w:szCs w:val="22"/>
        </w:rPr>
        <w:t>This is probably because</w:t>
      </w:r>
      <w:r w:rsidRPr="00631CBD">
        <w:rPr>
          <w:rFonts w:ascii="Arial" w:hAnsi="Arial" w:cs="Arial"/>
          <w:sz w:val="22"/>
          <w:szCs w:val="22"/>
        </w:rPr>
        <w:t xml:space="preserve">, </w:t>
      </w:r>
      <w:r w:rsidR="00942F73" w:rsidRPr="00631CBD">
        <w:rPr>
          <w:rFonts w:ascii="Arial" w:hAnsi="Arial" w:cs="Arial"/>
          <w:sz w:val="22"/>
          <w:szCs w:val="22"/>
        </w:rPr>
        <w:t xml:space="preserve">unlike the very regulated position applying to </w:t>
      </w:r>
      <w:r w:rsidRPr="00631CBD">
        <w:rPr>
          <w:rFonts w:ascii="Arial" w:hAnsi="Arial" w:cs="Arial"/>
          <w:sz w:val="22"/>
          <w:szCs w:val="22"/>
        </w:rPr>
        <w:t xml:space="preserve">employee pension or superannuation schemes, </w:t>
      </w:r>
      <w:r w:rsidR="00942F73" w:rsidRPr="00631CBD">
        <w:rPr>
          <w:rFonts w:ascii="Arial" w:hAnsi="Arial" w:cs="Arial"/>
          <w:sz w:val="22"/>
          <w:szCs w:val="22"/>
        </w:rPr>
        <w:t>there are generally no special rules applying to</w:t>
      </w:r>
      <w:r w:rsidRPr="00631CBD">
        <w:rPr>
          <w:rFonts w:ascii="Arial" w:hAnsi="Arial" w:cs="Arial"/>
          <w:sz w:val="22"/>
          <w:szCs w:val="22"/>
        </w:rPr>
        <w:t xml:space="preserve"> employee incentive plans. </w:t>
      </w:r>
      <w:r w:rsidR="00942F73" w:rsidRPr="00631CBD">
        <w:rPr>
          <w:rFonts w:ascii="Arial" w:hAnsi="Arial" w:cs="Arial"/>
          <w:sz w:val="22"/>
          <w:szCs w:val="22"/>
        </w:rPr>
        <w:t xml:space="preserve"> </w:t>
      </w:r>
      <w:r w:rsidR="006B7B62" w:rsidRPr="00631CBD">
        <w:rPr>
          <w:rFonts w:ascii="Arial" w:hAnsi="Arial" w:cs="Arial"/>
          <w:sz w:val="22"/>
          <w:szCs w:val="22"/>
        </w:rPr>
        <w:t>Instead, the</w:t>
      </w:r>
      <w:r w:rsidRPr="00631CBD">
        <w:rPr>
          <w:rFonts w:ascii="Arial" w:hAnsi="Arial" w:cs="Arial"/>
          <w:sz w:val="22"/>
          <w:szCs w:val="22"/>
        </w:rPr>
        <w:t xml:space="preserve"> trust</w:t>
      </w:r>
      <w:r w:rsidR="00942F73" w:rsidRPr="00631CBD">
        <w:rPr>
          <w:rFonts w:ascii="Arial" w:hAnsi="Arial" w:cs="Arial"/>
          <w:sz w:val="22"/>
          <w:szCs w:val="22"/>
        </w:rPr>
        <w:t>s</w:t>
      </w:r>
      <w:r w:rsidRPr="00631CBD">
        <w:rPr>
          <w:rFonts w:ascii="Arial" w:hAnsi="Arial" w:cs="Arial"/>
          <w:sz w:val="22"/>
          <w:szCs w:val="22"/>
        </w:rPr>
        <w:t xml:space="preserve"> </w:t>
      </w:r>
      <w:r w:rsidR="006B7B62" w:rsidRPr="00631CBD">
        <w:rPr>
          <w:rFonts w:ascii="Arial" w:hAnsi="Arial" w:cs="Arial"/>
          <w:sz w:val="22"/>
          <w:szCs w:val="22"/>
        </w:rPr>
        <w:t xml:space="preserve">supporting these plans </w:t>
      </w:r>
      <w:r w:rsidRPr="00631CBD">
        <w:rPr>
          <w:rFonts w:ascii="Arial" w:hAnsi="Arial" w:cs="Arial"/>
          <w:sz w:val="22"/>
          <w:szCs w:val="22"/>
        </w:rPr>
        <w:t xml:space="preserve">are </w:t>
      </w:r>
      <w:r w:rsidR="00942F73" w:rsidRPr="00631CBD">
        <w:rPr>
          <w:rFonts w:ascii="Arial" w:hAnsi="Arial" w:cs="Arial"/>
          <w:sz w:val="22"/>
          <w:szCs w:val="22"/>
        </w:rPr>
        <w:t>treated</w:t>
      </w:r>
      <w:r w:rsidRPr="00631CBD">
        <w:rPr>
          <w:rFonts w:ascii="Arial" w:hAnsi="Arial" w:cs="Arial"/>
          <w:sz w:val="22"/>
          <w:szCs w:val="22"/>
        </w:rPr>
        <w:t xml:space="preserve"> in the same manner as any other trust </w:t>
      </w:r>
      <w:r w:rsidR="00942F73" w:rsidRPr="00631CBD">
        <w:rPr>
          <w:rFonts w:ascii="Arial" w:hAnsi="Arial" w:cs="Arial"/>
          <w:sz w:val="22"/>
          <w:szCs w:val="22"/>
        </w:rPr>
        <w:t xml:space="preserve">deed or </w:t>
      </w:r>
      <w:r w:rsidRPr="00631CBD">
        <w:rPr>
          <w:rFonts w:ascii="Arial" w:hAnsi="Arial" w:cs="Arial"/>
          <w:sz w:val="22"/>
          <w:szCs w:val="22"/>
        </w:rPr>
        <w:t>instrument</w:t>
      </w:r>
      <w:r w:rsidR="00942F73" w:rsidRPr="00631CBD">
        <w:rPr>
          <w:rFonts w:ascii="Arial" w:hAnsi="Arial" w:cs="Arial"/>
          <w:sz w:val="22"/>
          <w:szCs w:val="22"/>
        </w:rPr>
        <w:t>.</w:t>
      </w:r>
    </w:p>
    <w:p w14:paraId="6E59EBFD" w14:textId="77777777" w:rsidR="00241747" w:rsidRPr="00631CBD" w:rsidRDefault="00241747" w:rsidP="00631CBD">
      <w:pPr>
        <w:spacing w:after="360" w:line="480" w:lineRule="auto"/>
        <w:rPr>
          <w:rFonts w:ascii="Arial" w:hAnsi="Arial" w:cs="Arial"/>
          <w:sz w:val="22"/>
          <w:szCs w:val="22"/>
        </w:rPr>
      </w:pPr>
      <w:r w:rsidRPr="00631CBD">
        <w:rPr>
          <w:rFonts w:ascii="Arial" w:hAnsi="Arial" w:cs="Arial"/>
          <w:sz w:val="22"/>
          <w:szCs w:val="22"/>
        </w:rPr>
        <w:t xml:space="preserve">In a case that I recently decided, </w:t>
      </w:r>
      <w:r w:rsidRPr="00631CBD">
        <w:rPr>
          <w:rFonts w:ascii="Arial" w:hAnsi="Arial" w:cs="Arial"/>
          <w:i/>
          <w:sz w:val="22"/>
          <w:szCs w:val="22"/>
        </w:rPr>
        <w:t xml:space="preserve">Australian Incentive Plan Pty Ltd v Babcock &amp; Brown International Pty Ltd </w:t>
      </w:r>
      <w:r w:rsidRPr="00631CBD">
        <w:rPr>
          <w:rFonts w:ascii="Arial" w:hAnsi="Arial" w:cs="Arial"/>
          <w:sz w:val="22"/>
          <w:szCs w:val="22"/>
        </w:rPr>
        <w:t>(“</w:t>
      </w:r>
      <w:r w:rsidRPr="00631CBD">
        <w:rPr>
          <w:rFonts w:ascii="Arial" w:hAnsi="Arial" w:cs="Arial"/>
          <w:i/>
          <w:sz w:val="22"/>
          <w:szCs w:val="22"/>
        </w:rPr>
        <w:t>Babcock</w:t>
      </w:r>
      <w:r w:rsidRPr="00631CBD">
        <w:rPr>
          <w:rFonts w:ascii="Arial" w:hAnsi="Arial" w:cs="Arial"/>
          <w:sz w:val="22"/>
          <w:szCs w:val="22"/>
        </w:rPr>
        <w:t>”),</w:t>
      </w:r>
      <w:r w:rsidRPr="00631CBD">
        <w:rPr>
          <w:rStyle w:val="FootnoteReference"/>
          <w:rFonts w:ascii="Arial" w:hAnsi="Arial" w:cs="Arial"/>
          <w:sz w:val="22"/>
          <w:szCs w:val="22"/>
        </w:rPr>
        <w:footnoteReference w:id="19"/>
      </w:r>
      <w:r w:rsidRPr="00631CBD">
        <w:rPr>
          <w:rFonts w:ascii="Arial" w:hAnsi="Arial" w:cs="Arial"/>
          <w:sz w:val="22"/>
          <w:szCs w:val="22"/>
        </w:rPr>
        <w:t xml:space="preserve"> the focus was on the construction of a trust instrument establishing an employee incentive scheme.  The purpose of the trust was to provide incentive arrangements, namely shares or options, as part of employees’ overall “compensation” (or remuneration) packages.  In furtherance of this purpose, the trustee, a company styled Australian Incentive Plan Pty Ltd, purchased shares in the settlor of the trust, the holding company of the Babcock</w:t>
      </w:r>
      <w:r w:rsidR="00823ABC" w:rsidRPr="00631CBD">
        <w:rPr>
          <w:rFonts w:ascii="Arial" w:hAnsi="Arial" w:cs="Arial"/>
          <w:sz w:val="22"/>
          <w:szCs w:val="22"/>
        </w:rPr>
        <w:t xml:space="preserve"> &amp; Brown</w:t>
      </w:r>
      <w:r w:rsidRPr="00631CBD">
        <w:rPr>
          <w:rFonts w:ascii="Arial" w:hAnsi="Arial" w:cs="Arial"/>
          <w:sz w:val="22"/>
          <w:szCs w:val="22"/>
        </w:rPr>
        <w:t xml:space="preserve"> group of companies across the globe.  The entitlement of employees to such shares under this scheme typically did not vest for at least four years.  The trust deed made clear that the employees under this scheme held no beneficial interest unless and until the minimum term of employment was completed.  The purpose of the trust, to provide incentive options to employees </w:t>
      </w:r>
      <w:r w:rsidRPr="00631CBD">
        <w:rPr>
          <w:rFonts w:ascii="Arial" w:hAnsi="Arial" w:cs="Arial"/>
          <w:sz w:val="22"/>
          <w:szCs w:val="22"/>
        </w:rPr>
        <w:lastRenderedPageBreak/>
        <w:t>employed for a defined period of time, was said to have failed when the settlor of the trust, Babcock &amp; Brown International Pty Ltd was placed into liquidation and ceased trading.  As a result, the minimum term of employment required for a disbursement under this trust could never be reached by any employee.  I make illustrative reference to this set of facts in the remainder of this paper.</w:t>
      </w:r>
    </w:p>
    <w:p w14:paraId="0ABF2F57" w14:textId="77777777" w:rsidR="00E5543D" w:rsidRPr="00631CBD" w:rsidRDefault="00E5543D" w:rsidP="00631CBD">
      <w:pPr>
        <w:pStyle w:val="Heading2"/>
        <w:spacing w:line="480" w:lineRule="auto"/>
        <w:rPr>
          <w:rFonts w:ascii="Arial" w:hAnsi="Arial" w:cs="Arial"/>
          <w:sz w:val="22"/>
          <w:szCs w:val="22"/>
        </w:rPr>
      </w:pPr>
      <w:bookmarkStart w:id="4" w:name="_Toc285803279"/>
      <w:r w:rsidRPr="00631CBD">
        <w:rPr>
          <w:rFonts w:ascii="Arial" w:hAnsi="Arial" w:cs="Arial"/>
          <w:sz w:val="22"/>
          <w:szCs w:val="22"/>
        </w:rPr>
        <w:t>Has the commercial purpose of the trust failed?</w:t>
      </w:r>
      <w:bookmarkEnd w:id="4"/>
    </w:p>
    <w:p w14:paraId="6387DBC5" w14:textId="77777777" w:rsidR="008A728A" w:rsidRPr="00631CBD" w:rsidRDefault="008A728A" w:rsidP="00631CBD">
      <w:pPr>
        <w:spacing w:after="360" w:line="480" w:lineRule="auto"/>
        <w:rPr>
          <w:rFonts w:ascii="Arial" w:hAnsi="Arial" w:cs="Arial"/>
          <w:sz w:val="22"/>
          <w:szCs w:val="22"/>
        </w:rPr>
      </w:pPr>
      <w:r w:rsidRPr="00631CBD">
        <w:rPr>
          <w:rFonts w:ascii="Arial" w:hAnsi="Arial" w:cs="Arial"/>
          <w:sz w:val="22"/>
          <w:szCs w:val="22"/>
        </w:rPr>
        <w:t xml:space="preserve">For the most part, commercial trusts are effected without difficulty and in accordance with their stated terms.  Nevertheless, in certain circumstances, the purpose of the trust may fail before this occurs:  for example, where the commercial purpose for which the trust was established </w:t>
      </w:r>
      <w:r w:rsidR="006B7B62" w:rsidRPr="00631CBD">
        <w:rPr>
          <w:rFonts w:ascii="Arial" w:hAnsi="Arial" w:cs="Arial"/>
          <w:sz w:val="22"/>
          <w:szCs w:val="22"/>
        </w:rPr>
        <w:t>can no longer be</w:t>
      </w:r>
      <w:r w:rsidRPr="00631CBD">
        <w:rPr>
          <w:rFonts w:ascii="Arial" w:hAnsi="Arial" w:cs="Arial"/>
          <w:sz w:val="22"/>
          <w:szCs w:val="22"/>
        </w:rPr>
        <w:t xml:space="preserve"> fulfilled.</w:t>
      </w:r>
    </w:p>
    <w:p w14:paraId="6E06F320" w14:textId="77777777" w:rsidR="0002463F" w:rsidRPr="00631CBD" w:rsidRDefault="003848A1" w:rsidP="00631CBD">
      <w:pPr>
        <w:spacing w:after="360" w:line="480" w:lineRule="auto"/>
        <w:rPr>
          <w:rFonts w:ascii="Arial" w:hAnsi="Arial" w:cs="Arial"/>
          <w:sz w:val="22"/>
          <w:szCs w:val="22"/>
        </w:rPr>
      </w:pPr>
      <w:r w:rsidRPr="00631CBD">
        <w:rPr>
          <w:rFonts w:ascii="Arial" w:hAnsi="Arial" w:cs="Arial"/>
          <w:sz w:val="22"/>
          <w:szCs w:val="22"/>
        </w:rPr>
        <w:t>T</w:t>
      </w:r>
      <w:r w:rsidR="00E5543D" w:rsidRPr="00631CBD">
        <w:rPr>
          <w:rFonts w:ascii="Arial" w:hAnsi="Arial" w:cs="Arial"/>
          <w:sz w:val="22"/>
          <w:szCs w:val="22"/>
        </w:rPr>
        <w:t xml:space="preserve">he </w:t>
      </w:r>
      <w:r w:rsidRPr="00631CBD">
        <w:rPr>
          <w:rFonts w:ascii="Arial" w:hAnsi="Arial" w:cs="Arial"/>
          <w:sz w:val="22"/>
          <w:szCs w:val="22"/>
        </w:rPr>
        <w:t>commercial</w:t>
      </w:r>
      <w:r w:rsidR="00E5543D" w:rsidRPr="00631CBD">
        <w:rPr>
          <w:rFonts w:ascii="Arial" w:hAnsi="Arial" w:cs="Arial"/>
          <w:sz w:val="22"/>
          <w:szCs w:val="22"/>
        </w:rPr>
        <w:t xml:space="preserve"> purpose of </w:t>
      </w:r>
      <w:r w:rsidRPr="00631CBD">
        <w:rPr>
          <w:rFonts w:ascii="Arial" w:hAnsi="Arial" w:cs="Arial"/>
          <w:sz w:val="22"/>
          <w:szCs w:val="22"/>
        </w:rPr>
        <w:t xml:space="preserve">a </w:t>
      </w:r>
      <w:r w:rsidR="00E5543D" w:rsidRPr="00631CBD">
        <w:rPr>
          <w:rFonts w:ascii="Arial" w:hAnsi="Arial" w:cs="Arial"/>
          <w:sz w:val="22"/>
          <w:szCs w:val="22"/>
        </w:rPr>
        <w:t>trust will</w:t>
      </w:r>
      <w:r w:rsidRPr="00631CBD">
        <w:rPr>
          <w:rFonts w:ascii="Arial" w:hAnsi="Arial" w:cs="Arial"/>
          <w:sz w:val="22"/>
          <w:szCs w:val="22"/>
        </w:rPr>
        <w:t xml:space="preserve"> </w:t>
      </w:r>
      <w:r w:rsidR="006B7B62" w:rsidRPr="00631CBD">
        <w:rPr>
          <w:rFonts w:ascii="Arial" w:hAnsi="Arial" w:cs="Arial"/>
          <w:sz w:val="22"/>
          <w:szCs w:val="22"/>
        </w:rPr>
        <w:t>usually</w:t>
      </w:r>
      <w:r w:rsidR="00E5543D" w:rsidRPr="00631CBD">
        <w:rPr>
          <w:rFonts w:ascii="Arial" w:hAnsi="Arial" w:cs="Arial"/>
          <w:sz w:val="22"/>
          <w:szCs w:val="22"/>
        </w:rPr>
        <w:t xml:space="preserve"> be apparent from the </w:t>
      </w:r>
      <w:r w:rsidRPr="00631CBD">
        <w:rPr>
          <w:rFonts w:ascii="Arial" w:hAnsi="Arial" w:cs="Arial"/>
          <w:sz w:val="22"/>
          <w:szCs w:val="22"/>
        </w:rPr>
        <w:t xml:space="preserve">recitals and </w:t>
      </w:r>
      <w:r w:rsidR="006B7B62" w:rsidRPr="00631CBD">
        <w:rPr>
          <w:rFonts w:ascii="Arial" w:hAnsi="Arial" w:cs="Arial"/>
          <w:sz w:val="22"/>
          <w:szCs w:val="22"/>
        </w:rPr>
        <w:t xml:space="preserve">operative </w:t>
      </w:r>
      <w:r w:rsidRPr="00631CBD">
        <w:rPr>
          <w:rFonts w:ascii="Arial" w:hAnsi="Arial" w:cs="Arial"/>
          <w:sz w:val="22"/>
          <w:szCs w:val="22"/>
        </w:rPr>
        <w:t xml:space="preserve">clauses describing </w:t>
      </w:r>
      <w:r w:rsidR="006B7B62" w:rsidRPr="00631CBD">
        <w:rPr>
          <w:rFonts w:ascii="Arial" w:hAnsi="Arial" w:cs="Arial"/>
          <w:sz w:val="22"/>
          <w:szCs w:val="22"/>
        </w:rPr>
        <w:t xml:space="preserve">or providing for </w:t>
      </w:r>
      <w:r w:rsidRPr="00631CBD">
        <w:rPr>
          <w:rFonts w:ascii="Arial" w:hAnsi="Arial" w:cs="Arial"/>
          <w:sz w:val="22"/>
          <w:szCs w:val="22"/>
        </w:rPr>
        <w:t>the purpose</w:t>
      </w:r>
      <w:r w:rsidR="008A728A" w:rsidRPr="00631CBD">
        <w:rPr>
          <w:rFonts w:ascii="Arial" w:hAnsi="Arial" w:cs="Arial"/>
          <w:sz w:val="22"/>
          <w:szCs w:val="22"/>
        </w:rPr>
        <w:t xml:space="preserve"> of the trust</w:t>
      </w:r>
      <w:r w:rsidRPr="00631CBD">
        <w:rPr>
          <w:rFonts w:ascii="Arial" w:hAnsi="Arial" w:cs="Arial"/>
          <w:sz w:val="22"/>
          <w:szCs w:val="22"/>
        </w:rPr>
        <w:t xml:space="preserve">. </w:t>
      </w:r>
      <w:r w:rsidR="006B7B62" w:rsidRPr="00631CBD">
        <w:rPr>
          <w:rFonts w:ascii="Arial" w:hAnsi="Arial" w:cs="Arial"/>
          <w:sz w:val="22"/>
          <w:szCs w:val="22"/>
        </w:rPr>
        <w:t xml:space="preserve"> </w:t>
      </w:r>
      <w:r w:rsidRPr="00631CBD">
        <w:rPr>
          <w:rFonts w:ascii="Arial" w:hAnsi="Arial" w:cs="Arial"/>
          <w:sz w:val="22"/>
          <w:szCs w:val="22"/>
        </w:rPr>
        <w:t>The</w:t>
      </w:r>
      <w:r w:rsidR="00985F67" w:rsidRPr="00631CBD">
        <w:rPr>
          <w:rFonts w:ascii="Arial" w:hAnsi="Arial" w:cs="Arial"/>
          <w:sz w:val="22"/>
          <w:szCs w:val="22"/>
        </w:rPr>
        <w:t xml:space="preserve"> specific machinery by which</w:t>
      </w:r>
      <w:r w:rsidRPr="00631CBD">
        <w:rPr>
          <w:rFonts w:ascii="Arial" w:hAnsi="Arial" w:cs="Arial"/>
          <w:sz w:val="22"/>
          <w:szCs w:val="22"/>
        </w:rPr>
        <w:t xml:space="preserve"> this purpose is </w:t>
      </w:r>
      <w:r w:rsidR="006B7B62" w:rsidRPr="00631CBD">
        <w:rPr>
          <w:rFonts w:ascii="Arial" w:hAnsi="Arial" w:cs="Arial"/>
          <w:sz w:val="22"/>
          <w:szCs w:val="22"/>
        </w:rPr>
        <w:t xml:space="preserve">intended to be </w:t>
      </w:r>
      <w:r w:rsidRPr="00631CBD">
        <w:rPr>
          <w:rFonts w:ascii="Arial" w:hAnsi="Arial" w:cs="Arial"/>
          <w:sz w:val="22"/>
          <w:szCs w:val="22"/>
        </w:rPr>
        <w:t xml:space="preserve">achieved must be </w:t>
      </w:r>
      <w:r w:rsidR="006B7B62" w:rsidRPr="00631CBD">
        <w:rPr>
          <w:rFonts w:ascii="Arial" w:hAnsi="Arial" w:cs="Arial"/>
          <w:sz w:val="22"/>
          <w:szCs w:val="22"/>
        </w:rPr>
        <w:t>discerned</w:t>
      </w:r>
      <w:r w:rsidRPr="00631CBD">
        <w:rPr>
          <w:rFonts w:ascii="Arial" w:hAnsi="Arial" w:cs="Arial"/>
          <w:sz w:val="22"/>
          <w:szCs w:val="22"/>
        </w:rPr>
        <w:t xml:space="preserve"> from the trust deed as a whole.</w:t>
      </w:r>
      <w:r w:rsidR="006B7B62" w:rsidRPr="00631CBD">
        <w:rPr>
          <w:rFonts w:ascii="Arial" w:hAnsi="Arial" w:cs="Arial"/>
          <w:sz w:val="22"/>
          <w:szCs w:val="22"/>
        </w:rPr>
        <w:t xml:space="preserve"> </w:t>
      </w:r>
      <w:r w:rsidRPr="00631CBD">
        <w:rPr>
          <w:rFonts w:ascii="Arial" w:hAnsi="Arial" w:cs="Arial"/>
          <w:sz w:val="22"/>
          <w:szCs w:val="22"/>
        </w:rPr>
        <w:t xml:space="preserve"> In some circumstances it will be clear that the commercial purpose has failed.</w:t>
      </w:r>
      <w:r w:rsidR="006B7B62" w:rsidRPr="00631CBD">
        <w:rPr>
          <w:rFonts w:ascii="Arial" w:hAnsi="Arial" w:cs="Arial"/>
          <w:sz w:val="22"/>
          <w:szCs w:val="22"/>
        </w:rPr>
        <w:t xml:space="preserve"> </w:t>
      </w:r>
      <w:r w:rsidRPr="00631CBD">
        <w:rPr>
          <w:rFonts w:ascii="Arial" w:hAnsi="Arial" w:cs="Arial"/>
          <w:sz w:val="22"/>
          <w:szCs w:val="22"/>
        </w:rPr>
        <w:t xml:space="preserve"> In </w:t>
      </w:r>
      <w:r w:rsidRPr="00631CBD">
        <w:rPr>
          <w:rFonts w:ascii="Arial" w:hAnsi="Arial" w:cs="Arial"/>
          <w:i/>
          <w:sz w:val="22"/>
          <w:szCs w:val="22"/>
        </w:rPr>
        <w:t xml:space="preserve">Babcock </w:t>
      </w:r>
      <w:r w:rsidRPr="00631CBD">
        <w:rPr>
          <w:rFonts w:ascii="Arial" w:hAnsi="Arial" w:cs="Arial"/>
          <w:sz w:val="22"/>
          <w:szCs w:val="22"/>
        </w:rPr>
        <w:t xml:space="preserve">the commercial purpose, to provide incentives to employees, was no longer </w:t>
      </w:r>
      <w:r w:rsidR="006B7B62" w:rsidRPr="00631CBD">
        <w:rPr>
          <w:rFonts w:ascii="Arial" w:hAnsi="Arial" w:cs="Arial"/>
          <w:sz w:val="22"/>
          <w:szCs w:val="22"/>
        </w:rPr>
        <w:t>achievable</w:t>
      </w:r>
      <w:r w:rsidRPr="00631CBD">
        <w:rPr>
          <w:rFonts w:ascii="Arial" w:hAnsi="Arial" w:cs="Arial"/>
          <w:sz w:val="22"/>
          <w:szCs w:val="22"/>
        </w:rPr>
        <w:t xml:space="preserve"> as </w:t>
      </w:r>
      <w:r w:rsidR="00823ABC" w:rsidRPr="00631CBD">
        <w:rPr>
          <w:rFonts w:ascii="Arial" w:hAnsi="Arial" w:cs="Arial"/>
          <w:sz w:val="22"/>
          <w:szCs w:val="22"/>
        </w:rPr>
        <w:t>insolvency had overtaken the Babcock &amp; Brown</w:t>
      </w:r>
      <w:r w:rsidR="000D3400" w:rsidRPr="00631CBD">
        <w:rPr>
          <w:rFonts w:ascii="Arial" w:hAnsi="Arial" w:cs="Arial"/>
          <w:sz w:val="22"/>
          <w:szCs w:val="22"/>
        </w:rPr>
        <w:t xml:space="preserve"> group</w:t>
      </w:r>
      <w:r w:rsidR="00823ABC" w:rsidRPr="00631CBD">
        <w:rPr>
          <w:rFonts w:ascii="Arial" w:hAnsi="Arial" w:cs="Arial"/>
          <w:sz w:val="22"/>
          <w:szCs w:val="22"/>
        </w:rPr>
        <w:t xml:space="preserve"> </w:t>
      </w:r>
      <w:r w:rsidRPr="00631CBD">
        <w:rPr>
          <w:rFonts w:ascii="Arial" w:hAnsi="Arial" w:cs="Arial"/>
          <w:sz w:val="22"/>
          <w:szCs w:val="22"/>
        </w:rPr>
        <w:t xml:space="preserve">and </w:t>
      </w:r>
      <w:r w:rsidR="00823ABC" w:rsidRPr="00631CBD">
        <w:rPr>
          <w:rFonts w:ascii="Arial" w:hAnsi="Arial" w:cs="Arial"/>
          <w:sz w:val="22"/>
          <w:szCs w:val="22"/>
        </w:rPr>
        <w:t xml:space="preserve">there were </w:t>
      </w:r>
      <w:r w:rsidR="000C39E2" w:rsidRPr="00631CBD">
        <w:rPr>
          <w:rFonts w:ascii="Arial" w:hAnsi="Arial" w:cs="Arial"/>
          <w:sz w:val="22"/>
          <w:szCs w:val="22"/>
        </w:rPr>
        <w:t xml:space="preserve">no </w:t>
      </w:r>
      <w:r w:rsidR="0002463F" w:rsidRPr="00631CBD">
        <w:rPr>
          <w:rFonts w:ascii="Arial" w:hAnsi="Arial" w:cs="Arial"/>
          <w:sz w:val="22"/>
          <w:szCs w:val="22"/>
        </w:rPr>
        <w:t>longer employees</w:t>
      </w:r>
      <w:r w:rsidR="006B7B62" w:rsidRPr="00631CBD">
        <w:rPr>
          <w:rFonts w:ascii="Arial" w:hAnsi="Arial" w:cs="Arial"/>
          <w:sz w:val="22"/>
          <w:szCs w:val="22"/>
        </w:rPr>
        <w:t xml:space="preserve"> of the relevant beneficiary class or classes</w:t>
      </w:r>
      <w:r w:rsidR="000C39E2" w:rsidRPr="00631CBD">
        <w:rPr>
          <w:rFonts w:ascii="Arial" w:hAnsi="Arial" w:cs="Arial"/>
          <w:sz w:val="22"/>
          <w:szCs w:val="22"/>
        </w:rPr>
        <w:t>.</w:t>
      </w:r>
      <w:r w:rsidR="006B7B62" w:rsidRPr="00631CBD">
        <w:rPr>
          <w:rFonts w:ascii="Arial" w:hAnsi="Arial" w:cs="Arial"/>
          <w:sz w:val="22"/>
          <w:szCs w:val="22"/>
        </w:rPr>
        <w:t xml:space="preserve"> </w:t>
      </w:r>
      <w:r w:rsidR="000C39E2" w:rsidRPr="00631CBD">
        <w:rPr>
          <w:rFonts w:ascii="Arial" w:hAnsi="Arial" w:cs="Arial"/>
          <w:sz w:val="22"/>
          <w:szCs w:val="22"/>
        </w:rPr>
        <w:t xml:space="preserve"> </w:t>
      </w:r>
    </w:p>
    <w:p w14:paraId="1BA9F54F" w14:textId="77777777" w:rsidR="00E9541F" w:rsidRPr="00631CBD" w:rsidRDefault="00E9541F" w:rsidP="00631CBD">
      <w:pPr>
        <w:pStyle w:val="Heading3"/>
        <w:spacing w:after="120" w:line="480" w:lineRule="auto"/>
        <w:rPr>
          <w:rFonts w:ascii="Arial" w:hAnsi="Arial" w:cs="Arial"/>
          <w:sz w:val="22"/>
          <w:szCs w:val="22"/>
        </w:rPr>
      </w:pPr>
      <w:bookmarkStart w:id="5" w:name="_Toc285803280"/>
      <w:r w:rsidRPr="00631CBD">
        <w:rPr>
          <w:rFonts w:ascii="Arial" w:hAnsi="Arial" w:cs="Arial"/>
          <w:sz w:val="22"/>
          <w:szCs w:val="22"/>
        </w:rPr>
        <w:lastRenderedPageBreak/>
        <w:t>Settlor’s intention: the presumption of resulting trust</w:t>
      </w:r>
      <w:bookmarkEnd w:id="5"/>
    </w:p>
    <w:p w14:paraId="623493B7" w14:textId="77777777" w:rsidR="00F22E73" w:rsidRPr="00631CBD" w:rsidRDefault="00F22E73" w:rsidP="00631CBD">
      <w:pPr>
        <w:spacing w:after="360" w:line="480" w:lineRule="auto"/>
        <w:rPr>
          <w:rFonts w:ascii="Arial" w:hAnsi="Arial" w:cs="Arial"/>
          <w:sz w:val="22"/>
          <w:szCs w:val="22"/>
        </w:rPr>
      </w:pPr>
      <w:r w:rsidRPr="00631CBD">
        <w:rPr>
          <w:rFonts w:ascii="Arial" w:hAnsi="Arial" w:cs="Arial"/>
          <w:sz w:val="22"/>
          <w:szCs w:val="22"/>
        </w:rPr>
        <w:t>Where a trust as a whole fails for any reason, the beneficial interest or interests the subject of the failed trust must pass to someone as equity abhors, and will not tolerate, a vacuum in the equitable ownership.</w:t>
      </w:r>
      <w:r w:rsidRPr="00631CBD">
        <w:rPr>
          <w:rStyle w:val="FootnoteReference"/>
          <w:rFonts w:ascii="Arial" w:hAnsi="Arial" w:cs="Arial"/>
          <w:sz w:val="22"/>
          <w:szCs w:val="22"/>
        </w:rPr>
        <w:footnoteReference w:id="20"/>
      </w:r>
      <w:r w:rsidRPr="00631CBD">
        <w:rPr>
          <w:rFonts w:ascii="Arial" w:hAnsi="Arial" w:cs="Arial"/>
          <w:sz w:val="22"/>
          <w:szCs w:val="22"/>
        </w:rPr>
        <w:t xml:space="preserve">  Thus, once it is established to the court’s satisfaction that a trust has failed, the court may be asked to determine the fate of the trust property.</w:t>
      </w:r>
    </w:p>
    <w:p w14:paraId="1613C047" w14:textId="77777777" w:rsidR="00E9541F" w:rsidRPr="00631CBD" w:rsidRDefault="006B7B62" w:rsidP="00631CBD">
      <w:pPr>
        <w:spacing w:after="120" w:line="480" w:lineRule="auto"/>
        <w:rPr>
          <w:rFonts w:ascii="Arial" w:hAnsi="Arial" w:cs="Arial"/>
          <w:sz w:val="22"/>
          <w:szCs w:val="22"/>
        </w:rPr>
      </w:pPr>
      <w:r w:rsidRPr="00631CBD">
        <w:rPr>
          <w:rFonts w:ascii="Arial" w:hAnsi="Arial" w:cs="Arial"/>
          <w:sz w:val="22"/>
          <w:szCs w:val="22"/>
        </w:rPr>
        <w:t>T</w:t>
      </w:r>
      <w:r w:rsidR="00E9541F" w:rsidRPr="00631CBD">
        <w:rPr>
          <w:rFonts w:ascii="Arial" w:hAnsi="Arial" w:cs="Arial"/>
          <w:sz w:val="22"/>
          <w:szCs w:val="22"/>
        </w:rPr>
        <w:t xml:space="preserve">he settlor of </w:t>
      </w:r>
      <w:r w:rsidRPr="00631CBD">
        <w:rPr>
          <w:rFonts w:ascii="Arial" w:hAnsi="Arial" w:cs="Arial"/>
          <w:sz w:val="22"/>
          <w:szCs w:val="22"/>
        </w:rPr>
        <w:t>an apparently failed trust may argue that although</w:t>
      </w:r>
      <w:r w:rsidR="00E9541F" w:rsidRPr="00631CBD">
        <w:rPr>
          <w:rFonts w:ascii="Arial" w:hAnsi="Arial" w:cs="Arial"/>
          <w:sz w:val="22"/>
          <w:szCs w:val="22"/>
        </w:rPr>
        <w:t xml:space="preserve"> there has been a total failure of the trust </w:t>
      </w:r>
      <w:r w:rsidR="00DA1D1A" w:rsidRPr="00631CBD">
        <w:rPr>
          <w:rFonts w:ascii="Arial" w:hAnsi="Arial" w:cs="Arial"/>
          <w:sz w:val="22"/>
          <w:szCs w:val="22"/>
        </w:rPr>
        <w:t>there was</w:t>
      </w:r>
      <w:r w:rsidR="00E9541F" w:rsidRPr="00631CBD">
        <w:rPr>
          <w:rFonts w:ascii="Arial" w:hAnsi="Arial" w:cs="Arial"/>
          <w:sz w:val="22"/>
          <w:szCs w:val="22"/>
        </w:rPr>
        <w:t xml:space="preserve">, </w:t>
      </w:r>
      <w:r w:rsidR="00DA1D1A" w:rsidRPr="00631CBD">
        <w:rPr>
          <w:rFonts w:ascii="Arial" w:hAnsi="Arial" w:cs="Arial"/>
          <w:sz w:val="22"/>
          <w:szCs w:val="22"/>
        </w:rPr>
        <w:t xml:space="preserve">in any event, </w:t>
      </w:r>
      <w:r w:rsidR="00E9541F" w:rsidRPr="00631CBD">
        <w:rPr>
          <w:rFonts w:ascii="Arial" w:hAnsi="Arial" w:cs="Arial"/>
          <w:sz w:val="22"/>
          <w:szCs w:val="22"/>
        </w:rPr>
        <w:t xml:space="preserve">an incomplete disposal of the beneficial interest under </w:t>
      </w:r>
      <w:r w:rsidR="00DA1D1A" w:rsidRPr="00631CBD">
        <w:rPr>
          <w:rFonts w:ascii="Arial" w:hAnsi="Arial" w:cs="Arial"/>
          <w:sz w:val="22"/>
          <w:szCs w:val="22"/>
        </w:rPr>
        <w:t>the</w:t>
      </w:r>
      <w:r w:rsidR="00E9541F" w:rsidRPr="00631CBD">
        <w:rPr>
          <w:rFonts w:ascii="Arial" w:hAnsi="Arial" w:cs="Arial"/>
          <w:sz w:val="22"/>
          <w:szCs w:val="22"/>
        </w:rPr>
        <w:t xml:space="preserve"> trust, thus giving rise to a resulting trust </w:t>
      </w:r>
      <w:r w:rsidR="00DA1D1A" w:rsidRPr="00631CBD">
        <w:rPr>
          <w:rFonts w:ascii="Arial" w:hAnsi="Arial" w:cs="Arial"/>
          <w:sz w:val="22"/>
          <w:szCs w:val="22"/>
        </w:rPr>
        <w:t xml:space="preserve">of the beneficial interest </w:t>
      </w:r>
      <w:r w:rsidR="00E9541F" w:rsidRPr="00631CBD">
        <w:rPr>
          <w:rFonts w:ascii="Arial" w:hAnsi="Arial" w:cs="Arial"/>
          <w:sz w:val="22"/>
          <w:szCs w:val="22"/>
        </w:rPr>
        <w:t xml:space="preserve">in </w:t>
      </w:r>
      <w:r w:rsidR="00DA1D1A" w:rsidRPr="00631CBD">
        <w:rPr>
          <w:rFonts w:ascii="Arial" w:hAnsi="Arial" w:cs="Arial"/>
          <w:sz w:val="22"/>
          <w:szCs w:val="22"/>
        </w:rPr>
        <w:t xml:space="preserve">his, her or </w:t>
      </w:r>
      <w:r w:rsidR="00E9541F" w:rsidRPr="00631CBD">
        <w:rPr>
          <w:rFonts w:ascii="Arial" w:hAnsi="Arial" w:cs="Arial"/>
          <w:sz w:val="22"/>
          <w:szCs w:val="22"/>
        </w:rPr>
        <w:t>its favour.</w:t>
      </w:r>
      <w:r w:rsidR="00E9541F" w:rsidRPr="00631CBD">
        <w:rPr>
          <w:rStyle w:val="FootnoteReference"/>
          <w:rFonts w:ascii="Arial" w:hAnsi="Arial" w:cs="Arial"/>
          <w:sz w:val="22"/>
          <w:szCs w:val="22"/>
        </w:rPr>
        <w:footnoteReference w:id="21"/>
      </w:r>
      <w:r w:rsidR="00E9541F" w:rsidRPr="00631CBD">
        <w:rPr>
          <w:rFonts w:ascii="Arial" w:hAnsi="Arial" w:cs="Arial"/>
          <w:sz w:val="22"/>
          <w:szCs w:val="22"/>
        </w:rPr>
        <w:t xml:space="preserve">  Resulting trusts of this kind, which arise by operation of law, are, like other resulting trusts, based upon intention presumed from the circumstances.</w:t>
      </w:r>
      <w:r w:rsidR="00E9541F" w:rsidRPr="00631CBD">
        <w:rPr>
          <w:rStyle w:val="FootnoteReference"/>
          <w:rFonts w:ascii="Arial" w:hAnsi="Arial" w:cs="Arial"/>
          <w:sz w:val="22"/>
          <w:szCs w:val="22"/>
        </w:rPr>
        <w:footnoteReference w:id="22"/>
      </w:r>
      <w:r w:rsidR="00E9541F" w:rsidRPr="00631CBD">
        <w:rPr>
          <w:rStyle w:val="FootnoteReference"/>
          <w:rFonts w:ascii="Arial" w:hAnsi="Arial" w:cs="Arial"/>
          <w:sz w:val="22"/>
          <w:szCs w:val="22"/>
        </w:rPr>
        <w:t xml:space="preserve"> </w:t>
      </w:r>
      <w:r w:rsidR="00E9541F" w:rsidRPr="00631CBD">
        <w:rPr>
          <w:rFonts w:ascii="Arial" w:hAnsi="Arial" w:cs="Arial"/>
          <w:sz w:val="22"/>
          <w:szCs w:val="22"/>
        </w:rPr>
        <w:t xml:space="preserve"> The following statement in Jacobs is illustrative:</w:t>
      </w:r>
      <w:r w:rsidR="00E9541F" w:rsidRPr="00631CBD">
        <w:rPr>
          <w:rStyle w:val="FootnoteReference"/>
          <w:rFonts w:ascii="Arial" w:hAnsi="Arial" w:cs="Arial"/>
          <w:sz w:val="22"/>
          <w:szCs w:val="22"/>
        </w:rPr>
        <w:footnoteReference w:id="23"/>
      </w:r>
    </w:p>
    <w:p w14:paraId="0EC433BF" w14:textId="77777777" w:rsidR="00E9541F" w:rsidRPr="00631CBD" w:rsidRDefault="00E9541F" w:rsidP="00631CBD">
      <w:pPr>
        <w:pStyle w:val="Quote1"/>
        <w:spacing w:line="480" w:lineRule="auto"/>
        <w:ind w:left="720" w:right="746" w:firstLine="0"/>
        <w:rPr>
          <w:rFonts w:ascii="Arial" w:hAnsi="Arial" w:cs="Arial"/>
          <w:szCs w:val="22"/>
        </w:rPr>
      </w:pPr>
      <w:r w:rsidRPr="00631CBD">
        <w:rPr>
          <w:rFonts w:ascii="Arial" w:hAnsi="Arial" w:cs="Arial"/>
          <w:szCs w:val="22"/>
        </w:rPr>
        <w:t>“A resulting trust may be presumed upon a disposition of the legal estate without any disposition of the beneficial interest, arising by reason of a mistake or an oversight in the drafting of a document evidencing an express trust or a failure to make provision for the particular contingency which has later occurred. ... [T]he law presumes that, in so far as the settlor or testator has not disposed of the beneficial interest, he or she intended to retain it.”</w:t>
      </w:r>
    </w:p>
    <w:p w14:paraId="1801D299" w14:textId="77777777" w:rsidR="00E9541F" w:rsidRPr="00631CBD" w:rsidRDefault="00E9541F" w:rsidP="00631CBD">
      <w:pPr>
        <w:spacing w:after="360" w:line="480" w:lineRule="auto"/>
        <w:rPr>
          <w:rFonts w:ascii="Arial" w:hAnsi="Arial" w:cs="Arial"/>
          <w:sz w:val="22"/>
          <w:szCs w:val="22"/>
        </w:rPr>
      </w:pPr>
      <w:r w:rsidRPr="00631CBD">
        <w:rPr>
          <w:rFonts w:ascii="Arial" w:hAnsi="Arial" w:cs="Arial"/>
          <w:sz w:val="22"/>
          <w:szCs w:val="22"/>
        </w:rPr>
        <w:lastRenderedPageBreak/>
        <w:t xml:space="preserve">The settlor may </w:t>
      </w:r>
      <w:r w:rsidR="00DA1D1A" w:rsidRPr="00631CBD">
        <w:rPr>
          <w:rFonts w:ascii="Arial" w:hAnsi="Arial" w:cs="Arial"/>
          <w:sz w:val="22"/>
          <w:szCs w:val="22"/>
        </w:rPr>
        <w:t xml:space="preserve">also </w:t>
      </w:r>
      <w:r w:rsidRPr="00631CBD">
        <w:rPr>
          <w:rFonts w:ascii="Arial" w:hAnsi="Arial" w:cs="Arial"/>
          <w:sz w:val="22"/>
          <w:szCs w:val="22"/>
        </w:rPr>
        <w:t xml:space="preserve">argue that the inclusion of a discretionary power </w:t>
      </w:r>
      <w:r w:rsidR="00DA1D1A" w:rsidRPr="00631CBD">
        <w:rPr>
          <w:rFonts w:ascii="Arial" w:hAnsi="Arial" w:cs="Arial"/>
          <w:sz w:val="22"/>
          <w:szCs w:val="22"/>
        </w:rPr>
        <w:t xml:space="preserve">of appointment </w:t>
      </w:r>
      <w:r w:rsidRPr="00631CBD">
        <w:rPr>
          <w:rFonts w:ascii="Arial" w:hAnsi="Arial" w:cs="Arial"/>
          <w:sz w:val="22"/>
          <w:szCs w:val="22"/>
        </w:rPr>
        <w:t>in favour of charities in the trust instrument was employed purely to avoid any failure of purpose of the trust for want of beneficiaries or to avoid the rule against perpetuities; consistent with the real purpose of the trust being entirely commercial, with no intention that it should be charitable.  This argument will no doubt be strengthened where part of the beneficial interest has been retained by the settlor, and provide a firmer basis for finding a resulting trust in the settlor’s favour.  This would tend to suggest that in the case of failure, the settlor would have intended that the trust property revert back.  By the same token, where the settlor retains no continuing interest, such a construction is less likely.  Nevertheless, a resulting trust will not arise where the settlor has made a clear alternative provision for the “destination” of the whole of the beneficial interest in an express trust</w:t>
      </w:r>
      <w:r w:rsidR="00DA1D1A" w:rsidRPr="00631CBD">
        <w:rPr>
          <w:rFonts w:ascii="Arial" w:hAnsi="Arial" w:cs="Arial"/>
          <w:sz w:val="22"/>
          <w:szCs w:val="22"/>
        </w:rPr>
        <w:t xml:space="preserve"> in these type of circumstances;  a provision</w:t>
      </w:r>
      <w:r w:rsidRPr="00631CBD">
        <w:rPr>
          <w:rFonts w:ascii="Arial" w:hAnsi="Arial" w:cs="Arial"/>
          <w:sz w:val="22"/>
          <w:szCs w:val="22"/>
        </w:rPr>
        <w:t xml:space="preserve"> which will be given effect </w:t>
      </w:r>
      <w:r w:rsidR="00DA1D1A" w:rsidRPr="00631CBD">
        <w:rPr>
          <w:rFonts w:ascii="Arial" w:hAnsi="Arial" w:cs="Arial"/>
          <w:sz w:val="22"/>
          <w:szCs w:val="22"/>
        </w:rPr>
        <w:t xml:space="preserve">to </w:t>
      </w:r>
      <w:r w:rsidRPr="00631CBD">
        <w:rPr>
          <w:rFonts w:ascii="Arial" w:hAnsi="Arial" w:cs="Arial"/>
          <w:sz w:val="22"/>
          <w:szCs w:val="22"/>
        </w:rPr>
        <w:t xml:space="preserve">by the </w:t>
      </w:r>
      <w:r w:rsidR="00DA1D1A" w:rsidRPr="00631CBD">
        <w:rPr>
          <w:rFonts w:ascii="Arial" w:hAnsi="Arial" w:cs="Arial"/>
          <w:sz w:val="22"/>
          <w:szCs w:val="22"/>
        </w:rPr>
        <w:t>c</w:t>
      </w:r>
      <w:r w:rsidRPr="00631CBD">
        <w:rPr>
          <w:rFonts w:ascii="Arial" w:hAnsi="Arial" w:cs="Arial"/>
          <w:sz w:val="22"/>
          <w:szCs w:val="22"/>
        </w:rPr>
        <w:t>ourt</w:t>
      </w:r>
      <w:r w:rsidR="00DA1D1A" w:rsidRPr="00631CBD">
        <w:rPr>
          <w:rFonts w:ascii="Arial" w:hAnsi="Arial" w:cs="Arial"/>
          <w:sz w:val="22"/>
          <w:szCs w:val="22"/>
        </w:rPr>
        <w:t>s</w:t>
      </w:r>
      <w:r w:rsidRPr="00631CBD">
        <w:rPr>
          <w:rFonts w:ascii="Arial" w:hAnsi="Arial" w:cs="Arial"/>
          <w:sz w:val="22"/>
          <w:szCs w:val="22"/>
        </w:rPr>
        <w:t>.</w:t>
      </w:r>
      <w:r w:rsidRPr="00631CBD">
        <w:rPr>
          <w:rStyle w:val="FootnoteReference"/>
          <w:rFonts w:ascii="Arial" w:hAnsi="Arial" w:cs="Arial"/>
          <w:sz w:val="22"/>
          <w:szCs w:val="22"/>
        </w:rPr>
        <w:footnoteReference w:id="24"/>
      </w:r>
      <w:r w:rsidRPr="00631CBD">
        <w:rPr>
          <w:rFonts w:ascii="Arial" w:hAnsi="Arial" w:cs="Arial"/>
          <w:sz w:val="22"/>
          <w:szCs w:val="22"/>
        </w:rPr>
        <w:t xml:space="preserve">  It must be noted, however, that an intention to “abandon” the beneficial interest is not lightly to be inferred;</w:t>
      </w:r>
      <w:r w:rsidRPr="00631CBD">
        <w:rPr>
          <w:rStyle w:val="FootnoteReference"/>
          <w:rFonts w:ascii="Arial" w:hAnsi="Arial" w:cs="Arial"/>
          <w:sz w:val="22"/>
          <w:szCs w:val="22"/>
        </w:rPr>
        <w:footnoteReference w:id="25"/>
      </w:r>
      <w:r w:rsidRPr="00631CBD">
        <w:rPr>
          <w:rFonts w:ascii="Arial" w:hAnsi="Arial" w:cs="Arial"/>
          <w:sz w:val="22"/>
          <w:szCs w:val="22"/>
        </w:rPr>
        <w:t xml:space="preserve"> and that this is particularly the case in the commercial context.</w:t>
      </w:r>
    </w:p>
    <w:p w14:paraId="18F8F181" w14:textId="77777777" w:rsidR="00E9541F" w:rsidRPr="00631CBD" w:rsidRDefault="00E9541F" w:rsidP="00631CBD">
      <w:pPr>
        <w:spacing w:line="480" w:lineRule="auto"/>
        <w:rPr>
          <w:rFonts w:ascii="Arial" w:hAnsi="Arial" w:cs="Arial"/>
          <w:sz w:val="22"/>
          <w:szCs w:val="22"/>
        </w:rPr>
      </w:pPr>
      <w:r w:rsidRPr="00631CBD">
        <w:rPr>
          <w:rFonts w:ascii="Arial" w:hAnsi="Arial" w:cs="Arial"/>
          <w:sz w:val="22"/>
          <w:szCs w:val="22"/>
        </w:rPr>
        <w:t xml:space="preserve">In other words, where </w:t>
      </w:r>
      <w:r w:rsidR="00BE7F0E" w:rsidRPr="00631CBD">
        <w:rPr>
          <w:rFonts w:ascii="Arial" w:hAnsi="Arial" w:cs="Arial"/>
          <w:sz w:val="22"/>
          <w:szCs w:val="22"/>
        </w:rPr>
        <w:t xml:space="preserve">the </w:t>
      </w:r>
      <w:r w:rsidRPr="00631CBD">
        <w:rPr>
          <w:rFonts w:ascii="Arial" w:hAnsi="Arial" w:cs="Arial"/>
          <w:sz w:val="22"/>
          <w:szCs w:val="22"/>
        </w:rPr>
        <w:t xml:space="preserve">trust can still be carried out and the </w:t>
      </w:r>
      <w:r w:rsidR="00DA1D1A" w:rsidRPr="00631CBD">
        <w:rPr>
          <w:rFonts w:ascii="Arial" w:hAnsi="Arial" w:cs="Arial"/>
          <w:sz w:val="22"/>
          <w:szCs w:val="22"/>
        </w:rPr>
        <w:t xml:space="preserve">whole of the </w:t>
      </w:r>
      <w:r w:rsidRPr="00631CBD">
        <w:rPr>
          <w:rFonts w:ascii="Arial" w:hAnsi="Arial" w:cs="Arial"/>
          <w:sz w:val="22"/>
          <w:szCs w:val="22"/>
        </w:rPr>
        <w:t xml:space="preserve">trust fund applied to some, or a class of, the potential beneficiaries, it cannot be said that there has been an incomplete disposal of the settlor’s interest.  For example, again in the employee </w:t>
      </w:r>
      <w:r w:rsidRPr="00631CBD">
        <w:rPr>
          <w:rFonts w:ascii="Arial" w:hAnsi="Arial" w:cs="Arial"/>
          <w:sz w:val="22"/>
          <w:szCs w:val="22"/>
        </w:rPr>
        <w:lastRenderedPageBreak/>
        <w:t xml:space="preserve">incentive </w:t>
      </w:r>
      <w:r w:rsidR="00A24B58" w:rsidRPr="00631CBD">
        <w:rPr>
          <w:rFonts w:ascii="Arial" w:hAnsi="Arial" w:cs="Arial"/>
          <w:sz w:val="22"/>
          <w:szCs w:val="22"/>
        </w:rPr>
        <w:t xml:space="preserve">scheme </w:t>
      </w:r>
      <w:r w:rsidRPr="00631CBD">
        <w:rPr>
          <w:rFonts w:ascii="Arial" w:hAnsi="Arial" w:cs="Arial"/>
          <w:sz w:val="22"/>
          <w:szCs w:val="22"/>
        </w:rPr>
        <w:t xml:space="preserve">context, where the trust deed evinces an intention to benefit employees through the incentive scheme, and also an intention to benefit charity in the event </w:t>
      </w:r>
      <w:r w:rsidR="00A24B58" w:rsidRPr="00631CBD">
        <w:rPr>
          <w:rFonts w:ascii="Arial" w:hAnsi="Arial" w:cs="Arial"/>
          <w:sz w:val="22"/>
          <w:szCs w:val="22"/>
        </w:rPr>
        <w:t>of</w:t>
      </w:r>
      <w:r w:rsidRPr="00631CBD">
        <w:rPr>
          <w:rFonts w:ascii="Arial" w:hAnsi="Arial" w:cs="Arial"/>
          <w:sz w:val="22"/>
          <w:szCs w:val="22"/>
        </w:rPr>
        <w:t xml:space="preserve"> a surplus under the scheme, and there </w:t>
      </w:r>
      <w:r w:rsidR="00BE7F0E" w:rsidRPr="00631CBD">
        <w:rPr>
          <w:rFonts w:ascii="Arial" w:hAnsi="Arial" w:cs="Arial"/>
          <w:sz w:val="22"/>
          <w:szCs w:val="22"/>
        </w:rPr>
        <w:t>are</w:t>
      </w:r>
      <w:r w:rsidR="00A24B58" w:rsidRPr="00631CBD">
        <w:rPr>
          <w:rFonts w:ascii="Arial" w:hAnsi="Arial" w:cs="Arial"/>
          <w:sz w:val="22"/>
          <w:szCs w:val="22"/>
        </w:rPr>
        <w:t xml:space="preserve"> </w:t>
      </w:r>
      <w:r w:rsidRPr="00631CBD">
        <w:rPr>
          <w:rFonts w:ascii="Arial" w:hAnsi="Arial" w:cs="Arial"/>
          <w:sz w:val="22"/>
          <w:szCs w:val="22"/>
        </w:rPr>
        <w:t>employee</w:t>
      </w:r>
      <w:r w:rsidR="00A24B58" w:rsidRPr="00631CBD">
        <w:rPr>
          <w:rFonts w:ascii="Arial" w:hAnsi="Arial" w:cs="Arial"/>
          <w:sz w:val="22"/>
          <w:szCs w:val="22"/>
        </w:rPr>
        <w:t>s</w:t>
      </w:r>
      <w:r w:rsidRPr="00631CBD">
        <w:rPr>
          <w:rFonts w:ascii="Arial" w:hAnsi="Arial" w:cs="Arial"/>
          <w:sz w:val="22"/>
          <w:szCs w:val="22"/>
        </w:rPr>
        <w:t xml:space="preserve"> or a charity </w:t>
      </w:r>
      <w:r w:rsidR="00A24B58" w:rsidRPr="00631CBD">
        <w:rPr>
          <w:rFonts w:ascii="Arial" w:hAnsi="Arial" w:cs="Arial"/>
          <w:sz w:val="22"/>
          <w:szCs w:val="22"/>
        </w:rPr>
        <w:t xml:space="preserve">or charities </w:t>
      </w:r>
      <w:r w:rsidRPr="00631CBD">
        <w:rPr>
          <w:rFonts w:ascii="Arial" w:hAnsi="Arial" w:cs="Arial"/>
          <w:sz w:val="22"/>
          <w:szCs w:val="22"/>
        </w:rPr>
        <w:t>eligible and able to receive the trust funds, the</w:t>
      </w:r>
      <w:r w:rsidR="00A24B58" w:rsidRPr="00631CBD">
        <w:rPr>
          <w:rFonts w:ascii="Arial" w:hAnsi="Arial" w:cs="Arial"/>
          <w:sz w:val="22"/>
          <w:szCs w:val="22"/>
        </w:rPr>
        <w:t xml:space="preserve">re </w:t>
      </w:r>
      <w:r w:rsidR="00BE7F0E" w:rsidRPr="00631CBD">
        <w:rPr>
          <w:rFonts w:ascii="Arial" w:hAnsi="Arial" w:cs="Arial"/>
          <w:sz w:val="22"/>
          <w:szCs w:val="22"/>
        </w:rPr>
        <w:t>will be</w:t>
      </w:r>
      <w:r w:rsidR="00A24B58" w:rsidRPr="00631CBD">
        <w:rPr>
          <w:rFonts w:ascii="Arial" w:hAnsi="Arial" w:cs="Arial"/>
          <w:sz w:val="22"/>
          <w:szCs w:val="22"/>
        </w:rPr>
        <w:t xml:space="preserve"> a complete disposition of the beneficial interest originally settled</w:t>
      </w:r>
      <w:r w:rsidRPr="00631CBD">
        <w:rPr>
          <w:rFonts w:ascii="Arial" w:hAnsi="Arial" w:cs="Arial"/>
          <w:sz w:val="22"/>
          <w:szCs w:val="22"/>
        </w:rPr>
        <w:t>.</w:t>
      </w:r>
      <w:r w:rsidRPr="00631CBD">
        <w:rPr>
          <w:rStyle w:val="FootnoteReference"/>
          <w:rFonts w:ascii="Arial" w:hAnsi="Arial" w:cs="Arial"/>
          <w:sz w:val="22"/>
          <w:szCs w:val="22"/>
        </w:rPr>
        <w:footnoteReference w:id="26"/>
      </w:r>
      <w:r w:rsidRPr="00631CBD">
        <w:rPr>
          <w:rFonts w:ascii="Arial" w:hAnsi="Arial" w:cs="Arial"/>
          <w:sz w:val="22"/>
          <w:szCs w:val="22"/>
        </w:rPr>
        <w:t xml:space="preserve">  There is no interest remaining to result, beneficially, back to the settlor.</w:t>
      </w:r>
      <w:r w:rsidR="00F463E5" w:rsidRPr="00631CBD">
        <w:rPr>
          <w:rFonts w:ascii="Arial" w:hAnsi="Arial" w:cs="Arial"/>
          <w:sz w:val="22"/>
          <w:szCs w:val="22"/>
        </w:rPr>
        <w:t xml:space="preserve"> The remainder of this paper will explore the manner in which the trust is administered after the failure of the commercial purpose.</w:t>
      </w:r>
    </w:p>
    <w:p w14:paraId="2155A500" w14:textId="77777777" w:rsidR="00B95089" w:rsidRPr="00631CBD" w:rsidRDefault="00CF5E00" w:rsidP="00631CBD">
      <w:pPr>
        <w:pStyle w:val="Heading2"/>
        <w:spacing w:line="480" w:lineRule="auto"/>
        <w:rPr>
          <w:rFonts w:ascii="Arial" w:hAnsi="Arial" w:cs="Arial"/>
          <w:sz w:val="22"/>
          <w:szCs w:val="22"/>
        </w:rPr>
      </w:pPr>
      <w:bookmarkStart w:id="6" w:name="_Toc285803281"/>
      <w:r w:rsidRPr="00631CBD">
        <w:rPr>
          <w:rFonts w:ascii="Arial" w:hAnsi="Arial" w:cs="Arial"/>
          <w:sz w:val="22"/>
          <w:szCs w:val="22"/>
        </w:rPr>
        <w:t>Has provision for failure been made?</w:t>
      </w:r>
      <w:bookmarkEnd w:id="6"/>
    </w:p>
    <w:p w14:paraId="6DA7C13F" w14:textId="77777777" w:rsidR="00C92927" w:rsidRPr="00631CBD" w:rsidRDefault="00C92927" w:rsidP="00631CBD">
      <w:pPr>
        <w:spacing w:after="360" w:line="480" w:lineRule="auto"/>
        <w:rPr>
          <w:rFonts w:ascii="Arial" w:hAnsi="Arial" w:cs="Arial"/>
          <w:sz w:val="22"/>
          <w:szCs w:val="22"/>
        </w:rPr>
      </w:pPr>
      <w:r w:rsidRPr="00631CBD">
        <w:rPr>
          <w:rFonts w:ascii="Arial" w:hAnsi="Arial" w:cs="Arial"/>
          <w:sz w:val="22"/>
          <w:szCs w:val="22"/>
        </w:rPr>
        <w:t xml:space="preserve">The recent global financial crisis showed </w:t>
      </w:r>
      <w:r w:rsidR="007F5036" w:rsidRPr="00631CBD">
        <w:rPr>
          <w:rFonts w:ascii="Arial" w:hAnsi="Arial" w:cs="Arial"/>
          <w:sz w:val="22"/>
          <w:szCs w:val="22"/>
        </w:rPr>
        <w:t xml:space="preserve">that </w:t>
      </w:r>
      <w:r w:rsidR="00823ABC" w:rsidRPr="00631CBD">
        <w:rPr>
          <w:rFonts w:ascii="Arial" w:hAnsi="Arial" w:cs="Arial"/>
          <w:sz w:val="22"/>
          <w:szCs w:val="22"/>
        </w:rPr>
        <w:t xml:space="preserve">the </w:t>
      </w:r>
      <w:r w:rsidRPr="00631CBD">
        <w:rPr>
          <w:rFonts w:ascii="Arial" w:hAnsi="Arial" w:cs="Arial"/>
          <w:sz w:val="22"/>
          <w:szCs w:val="22"/>
        </w:rPr>
        <w:t>conventional wisdom that some corporate entities were ‘too big to fail’ was deeply flawed.  However, t</w:t>
      </w:r>
      <w:r w:rsidR="00A24B58" w:rsidRPr="00631CBD">
        <w:rPr>
          <w:rFonts w:ascii="Arial" w:hAnsi="Arial" w:cs="Arial"/>
          <w:sz w:val="22"/>
          <w:szCs w:val="22"/>
        </w:rPr>
        <w:t>he</w:t>
      </w:r>
      <w:r w:rsidRPr="00631CBD">
        <w:rPr>
          <w:rFonts w:ascii="Arial" w:hAnsi="Arial" w:cs="Arial"/>
          <w:sz w:val="22"/>
          <w:szCs w:val="22"/>
        </w:rPr>
        <w:t xml:space="preserve"> effect </w:t>
      </w:r>
      <w:r w:rsidR="00A24B58" w:rsidRPr="00631CBD">
        <w:rPr>
          <w:rFonts w:ascii="Arial" w:hAnsi="Arial" w:cs="Arial"/>
          <w:sz w:val="22"/>
          <w:szCs w:val="22"/>
        </w:rPr>
        <w:t xml:space="preserve">of </w:t>
      </w:r>
      <w:r w:rsidR="00D533C3" w:rsidRPr="00631CBD">
        <w:rPr>
          <w:rFonts w:ascii="Arial" w:hAnsi="Arial" w:cs="Arial"/>
          <w:sz w:val="22"/>
          <w:szCs w:val="22"/>
        </w:rPr>
        <w:t xml:space="preserve">this thinking </w:t>
      </w:r>
      <w:r w:rsidRPr="00631CBD">
        <w:rPr>
          <w:rFonts w:ascii="Arial" w:hAnsi="Arial" w:cs="Arial"/>
          <w:sz w:val="22"/>
          <w:szCs w:val="22"/>
        </w:rPr>
        <w:t xml:space="preserve">was that many of the events that led to the failure of corporate entities and trusts associated with them were simply never contemplated.  </w:t>
      </w:r>
      <w:r w:rsidR="00D533C3" w:rsidRPr="00631CBD">
        <w:rPr>
          <w:rFonts w:ascii="Arial" w:hAnsi="Arial" w:cs="Arial"/>
          <w:sz w:val="22"/>
          <w:szCs w:val="22"/>
        </w:rPr>
        <w:t>Consequently</w:t>
      </w:r>
      <w:r w:rsidRPr="00631CBD">
        <w:rPr>
          <w:rFonts w:ascii="Arial" w:hAnsi="Arial" w:cs="Arial"/>
          <w:sz w:val="22"/>
          <w:szCs w:val="22"/>
        </w:rPr>
        <w:t xml:space="preserve">, there are, in hindsight, many significant drafting “omissions and ambiguities” in trust instruments and other contractual documents as a result of </w:t>
      </w:r>
      <w:r w:rsidR="007F5036" w:rsidRPr="00631CBD">
        <w:rPr>
          <w:rFonts w:ascii="Arial" w:hAnsi="Arial" w:cs="Arial"/>
          <w:sz w:val="22"/>
          <w:szCs w:val="22"/>
        </w:rPr>
        <w:t>this crisis</w:t>
      </w:r>
      <w:r w:rsidRPr="00631CBD">
        <w:rPr>
          <w:rFonts w:ascii="Arial" w:hAnsi="Arial" w:cs="Arial"/>
          <w:sz w:val="22"/>
          <w:szCs w:val="22"/>
        </w:rPr>
        <w:t xml:space="preserve">. The unexpected insolvency of these corporate entities was an event so “unthinkable” that no provision </w:t>
      </w:r>
      <w:r w:rsidR="007F5036" w:rsidRPr="00631CBD">
        <w:rPr>
          <w:rFonts w:ascii="Arial" w:hAnsi="Arial" w:cs="Arial"/>
          <w:sz w:val="22"/>
          <w:szCs w:val="22"/>
        </w:rPr>
        <w:t>was</w:t>
      </w:r>
      <w:r w:rsidRPr="00631CBD">
        <w:rPr>
          <w:rFonts w:ascii="Arial" w:hAnsi="Arial" w:cs="Arial"/>
          <w:sz w:val="22"/>
          <w:szCs w:val="22"/>
        </w:rPr>
        <w:t xml:space="preserve"> made to deal with such a contingency.  Rather like negotiating dispute resolution provisions at the conclusion of </w:t>
      </w:r>
      <w:r w:rsidR="00241747" w:rsidRPr="00631CBD">
        <w:rPr>
          <w:rFonts w:ascii="Arial" w:hAnsi="Arial" w:cs="Arial"/>
          <w:sz w:val="22"/>
          <w:szCs w:val="22"/>
        </w:rPr>
        <w:t>a</w:t>
      </w:r>
      <w:r w:rsidRPr="00631CBD">
        <w:rPr>
          <w:rFonts w:ascii="Arial" w:hAnsi="Arial" w:cs="Arial"/>
          <w:sz w:val="22"/>
          <w:szCs w:val="22"/>
        </w:rPr>
        <w:t xml:space="preserve"> commercial “deal”, it may seem ridiculous, in “poor taste”, negative or unenthusiastic for an advising lawyer to raise such a seemingly unlikely spectre.  Thus, in many cases no provision for negative contingencies of this nature was made.  </w:t>
      </w:r>
      <w:r w:rsidRPr="00631CBD">
        <w:rPr>
          <w:rFonts w:ascii="Arial" w:hAnsi="Arial" w:cs="Arial"/>
          <w:sz w:val="22"/>
          <w:szCs w:val="22"/>
        </w:rPr>
        <w:lastRenderedPageBreak/>
        <w:t>As a result, it may be necessary for the trustee, the settlor, or any prospective or actual beneficiaries, to seek definitive guidance, including intervention and orders, from the courts.</w:t>
      </w:r>
    </w:p>
    <w:p w14:paraId="57AD7C54" w14:textId="77777777" w:rsidR="009E2A30" w:rsidRPr="00631CBD" w:rsidRDefault="003B41F9" w:rsidP="00631CBD">
      <w:pPr>
        <w:spacing w:after="360" w:line="480" w:lineRule="auto"/>
        <w:rPr>
          <w:rFonts w:ascii="Arial" w:hAnsi="Arial" w:cs="Arial"/>
          <w:color w:val="000000"/>
          <w:sz w:val="22"/>
          <w:szCs w:val="22"/>
        </w:rPr>
      </w:pPr>
      <w:r w:rsidRPr="00631CBD">
        <w:rPr>
          <w:rFonts w:ascii="Arial" w:hAnsi="Arial" w:cs="Arial"/>
          <w:color w:val="000000"/>
          <w:sz w:val="22"/>
          <w:szCs w:val="22"/>
        </w:rPr>
        <w:t>Where the court determines that the trust</w:t>
      </w:r>
      <w:r w:rsidR="00F463E5" w:rsidRPr="00631CBD">
        <w:rPr>
          <w:rFonts w:ascii="Arial" w:hAnsi="Arial" w:cs="Arial"/>
          <w:color w:val="000000"/>
          <w:sz w:val="22"/>
          <w:szCs w:val="22"/>
        </w:rPr>
        <w:t>, or at least its machinery,</w:t>
      </w:r>
      <w:r w:rsidRPr="00631CBD">
        <w:rPr>
          <w:rFonts w:ascii="Arial" w:hAnsi="Arial" w:cs="Arial"/>
          <w:color w:val="000000"/>
          <w:sz w:val="22"/>
          <w:szCs w:val="22"/>
        </w:rPr>
        <w:t xml:space="preserve"> has failed, something must be done with the trust assets.  If no, or inadequate, provision for failure has been made in the trust deed, the court must decide where the assets are to be distributed.  In doing so, it will consider the </w:t>
      </w:r>
      <w:r w:rsidR="00D533C3" w:rsidRPr="00631CBD">
        <w:rPr>
          <w:rFonts w:ascii="Arial" w:hAnsi="Arial" w:cs="Arial"/>
          <w:color w:val="000000"/>
          <w:sz w:val="22"/>
          <w:szCs w:val="22"/>
        </w:rPr>
        <w:t>provisions</w:t>
      </w:r>
      <w:r w:rsidRPr="00631CBD">
        <w:rPr>
          <w:rFonts w:ascii="Arial" w:hAnsi="Arial" w:cs="Arial"/>
          <w:color w:val="000000"/>
          <w:sz w:val="22"/>
          <w:szCs w:val="22"/>
        </w:rPr>
        <w:t xml:space="preserve"> of the trust deed</w:t>
      </w:r>
      <w:r w:rsidR="00D533C3" w:rsidRPr="00631CBD">
        <w:rPr>
          <w:rFonts w:ascii="Arial" w:hAnsi="Arial" w:cs="Arial"/>
          <w:color w:val="000000"/>
          <w:sz w:val="22"/>
          <w:szCs w:val="22"/>
        </w:rPr>
        <w:t xml:space="preserve"> or instrument</w:t>
      </w:r>
      <w:r w:rsidRPr="00631CBD">
        <w:rPr>
          <w:rFonts w:ascii="Arial" w:hAnsi="Arial" w:cs="Arial"/>
          <w:color w:val="000000"/>
          <w:sz w:val="22"/>
          <w:szCs w:val="22"/>
        </w:rPr>
        <w:t xml:space="preserve">, </w:t>
      </w:r>
      <w:r w:rsidR="00D533C3" w:rsidRPr="00631CBD">
        <w:rPr>
          <w:rFonts w:ascii="Arial" w:hAnsi="Arial" w:cs="Arial"/>
          <w:color w:val="000000"/>
          <w:sz w:val="22"/>
          <w:szCs w:val="22"/>
        </w:rPr>
        <w:t xml:space="preserve">properly construed, </w:t>
      </w:r>
      <w:r w:rsidRPr="00631CBD">
        <w:rPr>
          <w:rFonts w:ascii="Arial" w:hAnsi="Arial" w:cs="Arial"/>
          <w:color w:val="000000"/>
          <w:sz w:val="22"/>
          <w:szCs w:val="22"/>
        </w:rPr>
        <w:t xml:space="preserve">the intention of the settlor, and any equitable rights or interests that beneficiaries, whether present or future, may have.  The court may </w:t>
      </w:r>
      <w:r w:rsidR="00D533C3" w:rsidRPr="00631CBD">
        <w:rPr>
          <w:rFonts w:ascii="Arial" w:hAnsi="Arial" w:cs="Arial"/>
          <w:color w:val="000000"/>
          <w:sz w:val="22"/>
          <w:szCs w:val="22"/>
        </w:rPr>
        <w:t>then proceed on the basis</w:t>
      </w:r>
      <w:r w:rsidR="007F5036" w:rsidRPr="00631CBD">
        <w:rPr>
          <w:rFonts w:ascii="Arial" w:hAnsi="Arial" w:cs="Arial"/>
          <w:color w:val="000000"/>
          <w:sz w:val="22"/>
          <w:szCs w:val="22"/>
        </w:rPr>
        <w:t xml:space="preserve"> of its statutory, general law or inherent </w:t>
      </w:r>
      <w:r w:rsidRPr="00631CBD">
        <w:rPr>
          <w:rFonts w:ascii="Arial" w:hAnsi="Arial" w:cs="Arial"/>
          <w:color w:val="000000"/>
          <w:sz w:val="22"/>
          <w:szCs w:val="22"/>
        </w:rPr>
        <w:t>power</w:t>
      </w:r>
      <w:r w:rsidR="007F5036" w:rsidRPr="00631CBD">
        <w:rPr>
          <w:rFonts w:ascii="Arial" w:hAnsi="Arial" w:cs="Arial"/>
          <w:color w:val="000000"/>
          <w:sz w:val="22"/>
          <w:szCs w:val="22"/>
        </w:rPr>
        <w:t>s</w:t>
      </w:r>
      <w:r w:rsidRPr="00631CBD">
        <w:rPr>
          <w:rFonts w:ascii="Arial" w:hAnsi="Arial" w:cs="Arial"/>
          <w:color w:val="000000"/>
          <w:sz w:val="22"/>
          <w:szCs w:val="22"/>
        </w:rPr>
        <w:t xml:space="preserve"> to vary or amend trusts or, in certain circumstances, </w:t>
      </w:r>
      <w:r w:rsidR="00D533C3" w:rsidRPr="00631CBD">
        <w:rPr>
          <w:rFonts w:ascii="Arial" w:hAnsi="Arial" w:cs="Arial"/>
          <w:color w:val="000000"/>
          <w:sz w:val="22"/>
          <w:szCs w:val="22"/>
        </w:rPr>
        <w:t xml:space="preserve">by approving a scheme under its general jurisdiction or ordering a </w:t>
      </w:r>
      <w:r w:rsidRPr="00631CBD">
        <w:rPr>
          <w:rFonts w:ascii="Arial" w:hAnsi="Arial" w:cs="Arial"/>
          <w:i/>
          <w:color w:val="000000"/>
          <w:sz w:val="22"/>
          <w:szCs w:val="22"/>
        </w:rPr>
        <w:t>cy-pr</w:t>
      </w:r>
      <w:r w:rsidRPr="00631CBD">
        <w:rPr>
          <w:rFonts w:ascii="Arial" w:hAnsi="Arial" w:cs="Arial"/>
          <w:i/>
          <w:sz w:val="22"/>
          <w:szCs w:val="22"/>
        </w:rPr>
        <w:t>è</w:t>
      </w:r>
      <w:r w:rsidRPr="00631CBD">
        <w:rPr>
          <w:rFonts w:ascii="Arial" w:hAnsi="Arial" w:cs="Arial"/>
          <w:i/>
          <w:color w:val="000000"/>
          <w:sz w:val="22"/>
          <w:szCs w:val="22"/>
        </w:rPr>
        <w:t>s</w:t>
      </w:r>
      <w:r w:rsidRPr="00631CBD">
        <w:rPr>
          <w:rFonts w:ascii="Arial" w:hAnsi="Arial" w:cs="Arial"/>
          <w:color w:val="000000"/>
          <w:sz w:val="22"/>
          <w:szCs w:val="22"/>
        </w:rPr>
        <w:t xml:space="preserve"> </w:t>
      </w:r>
      <w:r w:rsidR="00D533C3" w:rsidRPr="00631CBD">
        <w:rPr>
          <w:rFonts w:ascii="Arial" w:hAnsi="Arial" w:cs="Arial"/>
          <w:color w:val="000000"/>
          <w:sz w:val="22"/>
          <w:szCs w:val="22"/>
        </w:rPr>
        <w:t>scheme</w:t>
      </w:r>
      <w:r w:rsidRPr="00631CBD">
        <w:rPr>
          <w:rFonts w:ascii="Arial" w:hAnsi="Arial" w:cs="Arial"/>
          <w:color w:val="000000"/>
          <w:sz w:val="22"/>
          <w:szCs w:val="22"/>
        </w:rPr>
        <w:t>.</w:t>
      </w:r>
    </w:p>
    <w:p w14:paraId="358798D4" w14:textId="77777777" w:rsidR="003B41F9" w:rsidRPr="00631CBD" w:rsidRDefault="003B41F9" w:rsidP="00631CBD">
      <w:pPr>
        <w:spacing w:line="480" w:lineRule="auto"/>
        <w:rPr>
          <w:rFonts w:ascii="Arial" w:hAnsi="Arial" w:cs="Arial"/>
          <w:b/>
          <w:i/>
          <w:sz w:val="22"/>
          <w:szCs w:val="22"/>
        </w:rPr>
      </w:pPr>
      <w:r w:rsidRPr="00631CBD">
        <w:rPr>
          <w:rFonts w:ascii="Arial" w:hAnsi="Arial" w:cs="Arial"/>
          <w:color w:val="000000"/>
          <w:sz w:val="22"/>
          <w:szCs w:val="22"/>
        </w:rPr>
        <w:t xml:space="preserve">It must be recalled that the </w:t>
      </w:r>
      <w:r w:rsidR="0025580E" w:rsidRPr="00631CBD">
        <w:rPr>
          <w:rFonts w:ascii="Arial" w:hAnsi="Arial" w:cs="Arial"/>
          <w:color w:val="000000"/>
          <w:sz w:val="22"/>
          <w:szCs w:val="22"/>
        </w:rPr>
        <w:t xml:space="preserve">type of </w:t>
      </w:r>
      <w:r w:rsidRPr="00631CBD">
        <w:rPr>
          <w:rFonts w:ascii="Arial" w:hAnsi="Arial" w:cs="Arial"/>
          <w:color w:val="000000"/>
          <w:sz w:val="22"/>
          <w:szCs w:val="22"/>
        </w:rPr>
        <w:t>trusts under consideration in this paper are not primarily charitable trusts</w:t>
      </w:r>
      <w:r w:rsidR="0025580E" w:rsidRPr="00631CBD">
        <w:rPr>
          <w:rFonts w:ascii="Arial" w:hAnsi="Arial" w:cs="Arial"/>
          <w:color w:val="000000"/>
          <w:sz w:val="22"/>
          <w:szCs w:val="22"/>
        </w:rPr>
        <w:t xml:space="preserve">. </w:t>
      </w:r>
      <w:r w:rsidRPr="00631CBD">
        <w:rPr>
          <w:rFonts w:ascii="Arial" w:hAnsi="Arial" w:cs="Arial"/>
          <w:color w:val="000000"/>
          <w:sz w:val="22"/>
          <w:szCs w:val="22"/>
        </w:rPr>
        <w:t xml:space="preserve"> </w:t>
      </w:r>
      <w:r w:rsidR="0025580E" w:rsidRPr="00631CBD">
        <w:rPr>
          <w:rFonts w:ascii="Arial" w:hAnsi="Arial" w:cs="Arial"/>
          <w:color w:val="000000"/>
          <w:sz w:val="22"/>
          <w:szCs w:val="22"/>
        </w:rPr>
        <w:t xml:space="preserve">Rather, </w:t>
      </w:r>
      <w:r w:rsidRPr="00631CBD">
        <w:rPr>
          <w:rFonts w:ascii="Arial" w:hAnsi="Arial" w:cs="Arial"/>
          <w:color w:val="000000"/>
          <w:sz w:val="22"/>
          <w:szCs w:val="22"/>
        </w:rPr>
        <w:t xml:space="preserve">they are primarily commercial trusts, with provision for a potential discretionary selection of a charity </w:t>
      </w:r>
      <w:r w:rsidR="0025580E" w:rsidRPr="00631CBD">
        <w:rPr>
          <w:rFonts w:ascii="Arial" w:hAnsi="Arial" w:cs="Arial"/>
          <w:color w:val="000000"/>
          <w:sz w:val="22"/>
          <w:szCs w:val="22"/>
        </w:rPr>
        <w:t xml:space="preserve">or charities </w:t>
      </w:r>
      <w:r w:rsidRPr="00631CBD">
        <w:rPr>
          <w:rFonts w:ascii="Arial" w:hAnsi="Arial" w:cs="Arial"/>
          <w:color w:val="000000"/>
          <w:sz w:val="22"/>
          <w:szCs w:val="22"/>
        </w:rPr>
        <w:t xml:space="preserve">to receive trust </w:t>
      </w:r>
      <w:r w:rsidR="0025580E" w:rsidRPr="00631CBD">
        <w:rPr>
          <w:rFonts w:ascii="Arial" w:hAnsi="Arial" w:cs="Arial"/>
          <w:color w:val="000000"/>
          <w:sz w:val="22"/>
          <w:szCs w:val="22"/>
        </w:rPr>
        <w:t>property</w:t>
      </w:r>
      <w:r w:rsidR="00C054AB" w:rsidRPr="00631CBD">
        <w:rPr>
          <w:rFonts w:ascii="Arial" w:hAnsi="Arial" w:cs="Arial"/>
          <w:color w:val="000000"/>
          <w:sz w:val="22"/>
          <w:szCs w:val="22"/>
        </w:rPr>
        <w:t>; either in the usual course</w:t>
      </w:r>
      <w:r w:rsidRPr="00631CBD">
        <w:rPr>
          <w:rFonts w:ascii="Arial" w:hAnsi="Arial" w:cs="Arial"/>
          <w:color w:val="000000"/>
          <w:sz w:val="22"/>
          <w:szCs w:val="22"/>
        </w:rPr>
        <w:t xml:space="preserve"> or, on the triggering </w:t>
      </w:r>
      <w:r w:rsidR="0025580E" w:rsidRPr="00631CBD">
        <w:rPr>
          <w:rFonts w:ascii="Arial" w:hAnsi="Arial" w:cs="Arial"/>
          <w:color w:val="000000"/>
          <w:sz w:val="22"/>
          <w:szCs w:val="22"/>
        </w:rPr>
        <w:t>of certain events, the remaining</w:t>
      </w:r>
      <w:r w:rsidRPr="00631CBD">
        <w:rPr>
          <w:rFonts w:ascii="Arial" w:hAnsi="Arial" w:cs="Arial"/>
          <w:color w:val="000000"/>
          <w:sz w:val="22"/>
          <w:szCs w:val="22"/>
        </w:rPr>
        <w:t xml:space="preserve"> trust property</w:t>
      </w:r>
      <w:r w:rsidR="0025580E" w:rsidRPr="00631CBD">
        <w:rPr>
          <w:rFonts w:ascii="Arial" w:hAnsi="Arial" w:cs="Arial"/>
          <w:color w:val="000000"/>
          <w:sz w:val="22"/>
          <w:szCs w:val="22"/>
        </w:rPr>
        <w:t>, including the corpus</w:t>
      </w:r>
      <w:r w:rsidRPr="00631CBD">
        <w:rPr>
          <w:rFonts w:ascii="Arial" w:hAnsi="Arial" w:cs="Arial"/>
          <w:color w:val="000000"/>
          <w:sz w:val="22"/>
          <w:szCs w:val="22"/>
        </w:rPr>
        <w:t>.  Consequently, concepts such as charitable “schemes”,</w:t>
      </w:r>
      <w:r w:rsidRPr="00631CBD">
        <w:rPr>
          <w:rStyle w:val="FootnoteReference"/>
          <w:rFonts w:ascii="Arial" w:hAnsi="Arial" w:cs="Arial"/>
          <w:color w:val="000000"/>
          <w:sz w:val="22"/>
          <w:szCs w:val="22"/>
        </w:rPr>
        <w:footnoteReference w:id="27"/>
      </w:r>
      <w:r w:rsidRPr="00631CBD">
        <w:rPr>
          <w:rFonts w:ascii="Arial" w:hAnsi="Arial" w:cs="Arial"/>
          <w:color w:val="000000"/>
          <w:sz w:val="22"/>
          <w:szCs w:val="22"/>
        </w:rPr>
        <w:t xml:space="preserve"> which apply solely to charitable trusts, are likely to have little utility in the present context except where the provision for charity has failed in itself, as being insufficiently </w:t>
      </w:r>
      <w:r w:rsidRPr="00631CBD">
        <w:rPr>
          <w:rFonts w:ascii="Arial" w:hAnsi="Arial" w:cs="Arial"/>
          <w:color w:val="000000"/>
          <w:sz w:val="22"/>
          <w:szCs w:val="22"/>
        </w:rPr>
        <w:lastRenderedPageBreak/>
        <w:t xml:space="preserve">expressed or being specific with respect to a charitable institution which </w:t>
      </w:r>
      <w:r w:rsidR="0025580E" w:rsidRPr="00631CBD">
        <w:rPr>
          <w:rFonts w:ascii="Arial" w:hAnsi="Arial" w:cs="Arial"/>
          <w:color w:val="000000"/>
          <w:sz w:val="22"/>
          <w:szCs w:val="22"/>
        </w:rPr>
        <w:t xml:space="preserve">is no longer able to receive the trust property because, for example, it </w:t>
      </w:r>
      <w:r w:rsidRPr="00631CBD">
        <w:rPr>
          <w:rFonts w:ascii="Arial" w:hAnsi="Arial" w:cs="Arial"/>
          <w:color w:val="000000"/>
          <w:sz w:val="22"/>
          <w:szCs w:val="22"/>
        </w:rPr>
        <w:t>has ceased to exist.</w:t>
      </w:r>
    </w:p>
    <w:p w14:paraId="2DFECF97" w14:textId="77777777" w:rsidR="004B2009" w:rsidRPr="00631CBD" w:rsidRDefault="004B2009" w:rsidP="00631CBD">
      <w:pPr>
        <w:pStyle w:val="Heading3"/>
        <w:spacing w:after="120" w:line="480" w:lineRule="auto"/>
        <w:rPr>
          <w:rFonts w:ascii="Arial" w:hAnsi="Arial" w:cs="Arial"/>
          <w:sz w:val="22"/>
          <w:szCs w:val="22"/>
        </w:rPr>
      </w:pPr>
      <w:bookmarkStart w:id="7" w:name="_Toc285803282"/>
      <w:r w:rsidRPr="00631CBD">
        <w:rPr>
          <w:rFonts w:ascii="Arial" w:hAnsi="Arial" w:cs="Arial"/>
          <w:sz w:val="22"/>
          <w:szCs w:val="22"/>
        </w:rPr>
        <w:t>Gift to charity takes effect according to the terms of the trust</w:t>
      </w:r>
      <w:bookmarkEnd w:id="7"/>
    </w:p>
    <w:p w14:paraId="236E8DC7" w14:textId="77777777" w:rsidR="00C227AC" w:rsidRPr="00631CBD" w:rsidRDefault="00C227AC" w:rsidP="00631CBD">
      <w:pPr>
        <w:spacing w:after="360" w:line="480" w:lineRule="auto"/>
        <w:rPr>
          <w:rFonts w:ascii="Arial" w:hAnsi="Arial" w:cs="Arial"/>
          <w:sz w:val="22"/>
          <w:szCs w:val="22"/>
        </w:rPr>
      </w:pPr>
      <w:r w:rsidRPr="00631CBD">
        <w:rPr>
          <w:rFonts w:ascii="Arial" w:hAnsi="Arial" w:cs="Arial"/>
          <w:sz w:val="22"/>
          <w:szCs w:val="22"/>
        </w:rPr>
        <w:t xml:space="preserve">On the failure of the </w:t>
      </w:r>
      <w:r w:rsidR="0025580E" w:rsidRPr="00631CBD">
        <w:rPr>
          <w:rFonts w:ascii="Arial" w:hAnsi="Arial" w:cs="Arial"/>
          <w:sz w:val="22"/>
          <w:szCs w:val="22"/>
        </w:rPr>
        <w:t xml:space="preserve">commercial purpose of the </w:t>
      </w:r>
      <w:r w:rsidRPr="00631CBD">
        <w:rPr>
          <w:rFonts w:ascii="Arial" w:hAnsi="Arial" w:cs="Arial"/>
          <w:sz w:val="22"/>
          <w:szCs w:val="22"/>
        </w:rPr>
        <w:t xml:space="preserve">trust, where it is found that the settlor has no prospect of any beneficial interest arising under a resulting trust, the court must next look to </w:t>
      </w:r>
      <w:r w:rsidR="0025580E" w:rsidRPr="00631CBD">
        <w:rPr>
          <w:rFonts w:ascii="Arial" w:hAnsi="Arial" w:cs="Arial"/>
          <w:sz w:val="22"/>
          <w:szCs w:val="22"/>
        </w:rPr>
        <w:t>distribution of</w:t>
      </w:r>
      <w:r w:rsidRPr="00631CBD">
        <w:rPr>
          <w:rFonts w:ascii="Arial" w:hAnsi="Arial" w:cs="Arial"/>
          <w:sz w:val="22"/>
          <w:szCs w:val="22"/>
        </w:rPr>
        <w:t xml:space="preserve"> the trust property.  </w:t>
      </w:r>
      <w:r w:rsidR="0025580E" w:rsidRPr="00631CBD">
        <w:rPr>
          <w:rFonts w:ascii="Arial" w:hAnsi="Arial" w:cs="Arial"/>
          <w:sz w:val="22"/>
          <w:szCs w:val="22"/>
        </w:rPr>
        <w:t>The court is then faced with the difficult task of resolving the issue of proper construction of the trust deed and the</w:t>
      </w:r>
      <w:r w:rsidR="00C054AB" w:rsidRPr="00631CBD">
        <w:rPr>
          <w:rFonts w:ascii="Arial" w:hAnsi="Arial" w:cs="Arial"/>
          <w:sz w:val="22"/>
          <w:szCs w:val="22"/>
        </w:rPr>
        <w:t xml:space="preserve"> distribution of the trust fund;</w:t>
      </w:r>
      <w:r w:rsidR="0025580E" w:rsidRPr="00631CBD">
        <w:rPr>
          <w:rFonts w:ascii="Arial" w:hAnsi="Arial" w:cs="Arial"/>
          <w:sz w:val="22"/>
          <w:szCs w:val="22"/>
        </w:rPr>
        <w:t xml:space="preserve"> either in favour of one group of beneficiaries over another, or perhaps even in the proportion of distribution between</w:t>
      </w:r>
      <w:r w:rsidR="00C054AB" w:rsidRPr="00631CBD">
        <w:rPr>
          <w:rFonts w:ascii="Arial" w:hAnsi="Arial" w:cs="Arial"/>
          <w:sz w:val="22"/>
          <w:szCs w:val="22"/>
        </w:rPr>
        <w:t>,</w:t>
      </w:r>
      <w:r w:rsidR="0025580E" w:rsidRPr="00631CBD">
        <w:rPr>
          <w:rFonts w:ascii="Arial" w:hAnsi="Arial" w:cs="Arial"/>
          <w:sz w:val="22"/>
          <w:szCs w:val="22"/>
        </w:rPr>
        <w:t xml:space="preserve"> and within</w:t>
      </w:r>
      <w:r w:rsidR="00014D7F" w:rsidRPr="00631CBD">
        <w:rPr>
          <w:rFonts w:ascii="Arial" w:hAnsi="Arial" w:cs="Arial"/>
          <w:sz w:val="22"/>
          <w:szCs w:val="22"/>
        </w:rPr>
        <w:t>,</w:t>
      </w:r>
      <w:r w:rsidR="0025580E" w:rsidRPr="00631CBD">
        <w:rPr>
          <w:rFonts w:ascii="Arial" w:hAnsi="Arial" w:cs="Arial"/>
          <w:sz w:val="22"/>
          <w:szCs w:val="22"/>
        </w:rPr>
        <w:t xml:space="preserve"> diff</w:t>
      </w:r>
      <w:r w:rsidR="00C054AB" w:rsidRPr="00631CBD">
        <w:rPr>
          <w:rFonts w:ascii="Arial" w:hAnsi="Arial" w:cs="Arial"/>
          <w:sz w:val="22"/>
          <w:szCs w:val="22"/>
        </w:rPr>
        <w:t xml:space="preserve">erent classes of beneficiaries. Beneficiaries may include charities. </w:t>
      </w:r>
    </w:p>
    <w:p w14:paraId="6341CE6D" w14:textId="77777777" w:rsidR="00C227AC" w:rsidRPr="00631CBD" w:rsidRDefault="004B2009" w:rsidP="00631CBD">
      <w:pPr>
        <w:spacing w:after="360" w:line="480" w:lineRule="auto"/>
        <w:rPr>
          <w:rFonts w:ascii="Arial" w:hAnsi="Arial" w:cs="Arial"/>
          <w:sz w:val="22"/>
          <w:szCs w:val="22"/>
        </w:rPr>
      </w:pPr>
      <w:r w:rsidRPr="00631CBD">
        <w:rPr>
          <w:rFonts w:ascii="Arial" w:hAnsi="Arial" w:cs="Arial"/>
          <w:sz w:val="22"/>
          <w:szCs w:val="22"/>
        </w:rPr>
        <w:t xml:space="preserve">If the circumstances of failure are the subject of an express stipulation in the provisions of the trust deed </w:t>
      </w:r>
      <w:r w:rsidR="0025580E" w:rsidRPr="00631CBD">
        <w:rPr>
          <w:rFonts w:ascii="Arial" w:hAnsi="Arial" w:cs="Arial"/>
          <w:sz w:val="22"/>
          <w:szCs w:val="22"/>
        </w:rPr>
        <w:t xml:space="preserve">or instrument </w:t>
      </w:r>
      <w:r w:rsidRPr="00631CBD">
        <w:rPr>
          <w:rFonts w:ascii="Arial" w:hAnsi="Arial" w:cs="Arial"/>
          <w:sz w:val="22"/>
          <w:szCs w:val="22"/>
        </w:rPr>
        <w:t xml:space="preserve">(e.g. “on the liquidation of the company” or “if no beneficiaries remain”, “the residual monies will be distributed equally” or “donated to charity”), the provisions </w:t>
      </w:r>
      <w:r w:rsidR="002A7271" w:rsidRPr="00631CBD">
        <w:rPr>
          <w:rFonts w:ascii="Arial" w:hAnsi="Arial" w:cs="Arial"/>
          <w:sz w:val="22"/>
          <w:szCs w:val="22"/>
        </w:rPr>
        <w:t>should be able to be applied by the trustee</w:t>
      </w:r>
      <w:r w:rsidR="00C227AC" w:rsidRPr="00631CBD">
        <w:rPr>
          <w:rFonts w:ascii="Arial" w:hAnsi="Arial" w:cs="Arial"/>
          <w:sz w:val="22"/>
          <w:szCs w:val="22"/>
        </w:rPr>
        <w:t xml:space="preserve"> </w:t>
      </w:r>
      <w:r w:rsidRPr="00631CBD">
        <w:rPr>
          <w:rFonts w:ascii="Arial" w:hAnsi="Arial" w:cs="Arial"/>
          <w:sz w:val="22"/>
          <w:szCs w:val="22"/>
        </w:rPr>
        <w:t xml:space="preserve">– barring, of course, illegality, or the application of rules such as the rule against perpetuities.  </w:t>
      </w:r>
      <w:r w:rsidR="0025580E" w:rsidRPr="00631CBD">
        <w:rPr>
          <w:rFonts w:ascii="Arial" w:hAnsi="Arial" w:cs="Arial"/>
          <w:sz w:val="22"/>
          <w:szCs w:val="22"/>
        </w:rPr>
        <w:t xml:space="preserve">On the other hand, where any </w:t>
      </w:r>
      <w:r w:rsidR="00A57680" w:rsidRPr="00631CBD">
        <w:rPr>
          <w:rFonts w:ascii="Arial" w:hAnsi="Arial" w:cs="Arial"/>
          <w:sz w:val="22"/>
          <w:szCs w:val="22"/>
        </w:rPr>
        <w:t>entitlement is subject to the trustee’s discretion, and the class of potential beneficiaries includes both charities and another class of beneficiaries, both of which are still unascertained, there may be potential for argument in relation to the exercise of the power of selection</w:t>
      </w:r>
      <w:r w:rsidR="00820DB5" w:rsidRPr="00631CBD">
        <w:rPr>
          <w:rFonts w:ascii="Arial" w:hAnsi="Arial" w:cs="Arial"/>
          <w:sz w:val="22"/>
          <w:szCs w:val="22"/>
        </w:rPr>
        <w:t>.</w:t>
      </w:r>
    </w:p>
    <w:p w14:paraId="6E992235" w14:textId="77777777" w:rsidR="00A57680" w:rsidRPr="00631CBD" w:rsidRDefault="00A57680" w:rsidP="00631CBD">
      <w:pPr>
        <w:spacing w:after="360" w:line="480" w:lineRule="auto"/>
        <w:rPr>
          <w:rFonts w:ascii="Arial" w:hAnsi="Arial" w:cs="Arial"/>
          <w:b/>
          <w:sz w:val="22"/>
          <w:szCs w:val="22"/>
        </w:rPr>
      </w:pPr>
      <w:r w:rsidRPr="00631CBD">
        <w:rPr>
          <w:rFonts w:ascii="Arial" w:hAnsi="Arial" w:cs="Arial"/>
          <w:sz w:val="22"/>
          <w:szCs w:val="22"/>
        </w:rPr>
        <w:lastRenderedPageBreak/>
        <w:t>C</w:t>
      </w:r>
      <w:r w:rsidR="00820DB5" w:rsidRPr="00631CBD">
        <w:rPr>
          <w:rFonts w:ascii="Arial" w:hAnsi="Arial" w:cs="Arial"/>
          <w:sz w:val="22"/>
          <w:szCs w:val="22"/>
        </w:rPr>
        <w:t>harities as potential</w:t>
      </w:r>
      <w:r w:rsidRPr="00631CBD">
        <w:rPr>
          <w:rFonts w:ascii="Arial" w:hAnsi="Arial" w:cs="Arial"/>
          <w:sz w:val="22"/>
          <w:szCs w:val="22"/>
        </w:rPr>
        <w:t xml:space="preserve"> beneficiaries under a discretionary trust, or discretionary appointment provisions, may be on equal footing</w:t>
      </w:r>
      <w:r w:rsidR="00820DB5" w:rsidRPr="00631CBD">
        <w:rPr>
          <w:rFonts w:ascii="Arial" w:hAnsi="Arial" w:cs="Arial"/>
          <w:sz w:val="22"/>
          <w:szCs w:val="22"/>
        </w:rPr>
        <w:t>, so to speak,</w:t>
      </w:r>
      <w:r w:rsidRPr="00631CBD">
        <w:rPr>
          <w:rFonts w:ascii="Arial" w:hAnsi="Arial" w:cs="Arial"/>
          <w:sz w:val="22"/>
          <w:szCs w:val="22"/>
        </w:rPr>
        <w:t xml:space="preserve"> with other </w:t>
      </w:r>
      <w:r w:rsidR="00820DB5" w:rsidRPr="00631CBD">
        <w:rPr>
          <w:rFonts w:ascii="Arial" w:hAnsi="Arial" w:cs="Arial"/>
          <w:sz w:val="22"/>
          <w:szCs w:val="22"/>
        </w:rPr>
        <w:t>potential</w:t>
      </w:r>
      <w:r w:rsidRPr="00631CBD">
        <w:rPr>
          <w:rFonts w:ascii="Arial" w:hAnsi="Arial" w:cs="Arial"/>
          <w:sz w:val="22"/>
          <w:szCs w:val="22"/>
        </w:rPr>
        <w:t xml:space="preserve"> beneficiaries with respect to trust property in situations such as a failed employee incentive program.  This is particularly the case where employees have not contributed to the program in monetary terms and thus have no basis upon which to assert a claim to </w:t>
      </w:r>
      <w:r w:rsidR="00820DB5" w:rsidRPr="00631CBD">
        <w:rPr>
          <w:rFonts w:ascii="Arial" w:hAnsi="Arial" w:cs="Arial"/>
          <w:sz w:val="22"/>
          <w:szCs w:val="22"/>
        </w:rPr>
        <w:t xml:space="preserve">any interest in </w:t>
      </w:r>
      <w:r w:rsidRPr="00631CBD">
        <w:rPr>
          <w:rFonts w:ascii="Arial" w:hAnsi="Arial" w:cs="Arial"/>
          <w:sz w:val="22"/>
          <w:szCs w:val="22"/>
        </w:rPr>
        <w:t>the trust property</w:t>
      </w:r>
      <w:r w:rsidR="00820DB5" w:rsidRPr="00631CBD">
        <w:rPr>
          <w:rFonts w:ascii="Arial" w:hAnsi="Arial" w:cs="Arial"/>
          <w:sz w:val="22"/>
          <w:szCs w:val="22"/>
        </w:rPr>
        <w:t xml:space="preserve">; </w:t>
      </w:r>
      <w:r w:rsidRPr="00631CBD">
        <w:rPr>
          <w:rFonts w:ascii="Arial" w:hAnsi="Arial" w:cs="Arial"/>
          <w:sz w:val="22"/>
          <w:szCs w:val="22"/>
        </w:rPr>
        <w:t xml:space="preserve"> nor any </w:t>
      </w:r>
      <w:r w:rsidR="00820DB5" w:rsidRPr="00631CBD">
        <w:rPr>
          <w:rFonts w:ascii="Arial" w:hAnsi="Arial" w:cs="Arial"/>
          <w:sz w:val="22"/>
          <w:szCs w:val="22"/>
        </w:rPr>
        <w:t>“entitlement”</w:t>
      </w:r>
      <w:r w:rsidRPr="00631CBD">
        <w:rPr>
          <w:rFonts w:ascii="Arial" w:hAnsi="Arial" w:cs="Arial"/>
          <w:sz w:val="22"/>
          <w:szCs w:val="22"/>
        </w:rPr>
        <w:t xml:space="preserve"> to any award or payment under such a program – though, of course, they may have “put in the time and effort” as diligent employees.  </w:t>
      </w:r>
      <w:r w:rsidR="00820DB5" w:rsidRPr="00631CBD">
        <w:rPr>
          <w:rFonts w:ascii="Arial" w:hAnsi="Arial" w:cs="Arial"/>
          <w:i/>
          <w:sz w:val="22"/>
          <w:szCs w:val="22"/>
        </w:rPr>
        <w:t>Babcock</w:t>
      </w:r>
      <w:r w:rsidR="00820DB5" w:rsidRPr="00631CBD">
        <w:rPr>
          <w:rFonts w:ascii="Arial" w:hAnsi="Arial" w:cs="Arial"/>
          <w:sz w:val="22"/>
          <w:szCs w:val="22"/>
        </w:rPr>
        <w:t xml:space="preserve"> is an example of circumstances such as this.  Thus,</w:t>
      </w:r>
      <w:r w:rsidRPr="00631CBD">
        <w:rPr>
          <w:rFonts w:ascii="Arial" w:hAnsi="Arial" w:cs="Arial"/>
          <w:sz w:val="22"/>
          <w:szCs w:val="22"/>
        </w:rPr>
        <w:t xml:space="preserve"> if, for example, provision is made for a payment to be made to an emplo</w:t>
      </w:r>
      <w:r w:rsidR="00820DB5" w:rsidRPr="00631CBD">
        <w:rPr>
          <w:rFonts w:ascii="Arial" w:hAnsi="Arial" w:cs="Arial"/>
          <w:sz w:val="22"/>
          <w:szCs w:val="22"/>
        </w:rPr>
        <w:t>yee after “5 years of service”</w:t>
      </w:r>
      <w:r w:rsidRPr="00631CBD">
        <w:rPr>
          <w:rFonts w:ascii="Arial" w:hAnsi="Arial" w:cs="Arial"/>
          <w:sz w:val="22"/>
          <w:szCs w:val="22"/>
        </w:rPr>
        <w:t xml:space="preserve">, with no beneficial interest arising before then, and the </w:t>
      </w:r>
      <w:r w:rsidR="00820DB5" w:rsidRPr="00631CBD">
        <w:rPr>
          <w:rFonts w:ascii="Arial" w:hAnsi="Arial" w:cs="Arial"/>
          <w:sz w:val="22"/>
          <w:szCs w:val="22"/>
        </w:rPr>
        <w:t xml:space="preserve">employer </w:t>
      </w:r>
      <w:r w:rsidRPr="00631CBD">
        <w:rPr>
          <w:rFonts w:ascii="Arial" w:hAnsi="Arial" w:cs="Arial"/>
          <w:sz w:val="22"/>
          <w:szCs w:val="22"/>
        </w:rPr>
        <w:t xml:space="preserve">company becomes insolvent within that period and </w:t>
      </w:r>
      <w:r w:rsidR="00820DB5" w:rsidRPr="00631CBD">
        <w:rPr>
          <w:rFonts w:ascii="Arial" w:hAnsi="Arial" w:cs="Arial"/>
          <w:sz w:val="22"/>
          <w:szCs w:val="22"/>
        </w:rPr>
        <w:t xml:space="preserve">so </w:t>
      </w:r>
      <w:r w:rsidRPr="00631CBD">
        <w:rPr>
          <w:rFonts w:ascii="Arial" w:hAnsi="Arial" w:cs="Arial"/>
          <w:sz w:val="22"/>
          <w:szCs w:val="22"/>
        </w:rPr>
        <w:t xml:space="preserve">the purpose of the trust cannot be achieved, the then-employee cannot be said to have accrued any entitlement.  </w:t>
      </w:r>
      <w:r w:rsidR="00820DB5" w:rsidRPr="00631CBD">
        <w:rPr>
          <w:rFonts w:ascii="Arial" w:hAnsi="Arial" w:cs="Arial"/>
          <w:sz w:val="22"/>
          <w:szCs w:val="22"/>
        </w:rPr>
        <w:t>Consequently</w:t>
      </w:r>
      <w:r w:rsidRPr="00631CBD">
        <w:rPr>
          <w:rFonts w:ascii="Arial" w:hAnsi="Arial" w:cs="Arial"/>
          <w:sz w:val="22"/>
          <w:szCs w:val="22"/>
        </w:rPr>
        <w:t xml:space="preserve">, although the trust </w:t>
      </w:r>
      <w:r w:rsidR="00820DB5" w:rsidRPr="00631CBD">
        <w:rPr>
          <w:rFonts w:ascii="Arial" w:hAnsi="Arial" w:cs="Arial"/>
          <w:sz w:val="22"/>
          <w:szCs w:val="22"/>
        </w:rPr>
        <w:t xml:space="preserve">deed or instrument may provide that the trust was established </w:t>
      </w:r>
      <w:r w:rsidRPr="00631CBD">
        <w:rPr>
          <w:rFonts w:ascii="Arial" w:hAnsi="Arial" w:cs="Arial"/>
          <w:sz w:val="22"/>
          <w:szCs w:val="22"/>
        </w:rPr>
        <w:t xml:space="preserve">for the benefit of employees (and the employer), </w:t>
      </w:r>
      <w:r w:rsidR="00820DB5" w:rsidRPr="00631CBD">
        <w:rPr>
          <w:rFonts w:ascii="Arial" w:hAnsi="Arial" w:cs="Arial"/>
          <w:sz w:val="22"/>
          <w:szCs w:val="22"/>
        </w:rPr>
        <w:t>they are in these circumstances placed on an “equal footing”</w:t>
      </w:r>
      <w:r w:rsidRPr="00631CBD">
        <w:rPr>
          <w:rFonts w:ascii="Arial" w:hAnsi="Arial" w:cs="Arial"/>
          <w:sz w:val="22"/>
          <w:szCs w:val="22"/>
        </w:rPr>
        <w:t xml:space="preserve"> with all other </w:t>
      </w:r>
      <w:r w:rsidR="00820DB5" w:rsidRPr="00631CBD">
        <w:rPr>
          <w:rFonts w:ascii="Arial" w:hAnsi="Arial" w:cs="Arial"/>
          <w:sz w:val="22"/>
          <w:szCs w:val="22"/>
        </w:rPr>
        <w:t>potential</w:t>
      </w:r>
      <w:r w:rsidRPr="00631CBD">
        <w:rPr>
          <w:rFonts w:ascii="Arial" w:hAnsi="Arial" w:cs="Arial"/>
          <w:sz w:val="22"/>
          <w:szCs w:val="22"/>
        </w:rPr>
        <w:t xml:space="preserve"> beneficiaries</w:t>
      </w:r>
      <w:r w:rsidR="00820DB5" w:rsidRPr="00631CBD">
        <w:rPr>
          <w:rFonts w:ascii="Arial" w:hAnsi="Arial" w:cs="Arial"/>
          <w:sz w:val="22"/>
          <w:szCs w:val="22"/>
        </w:rPr>
        <w:t>,</w:t>
      </w:r>
      <w:r w:rsidRPr="00631CBD">
        <w:rPr>
          <w:rFonts w:ascii="Arial" w:hAnsi="Arial" w:cs="Arial"/>
          <w:sz w:val="22"/>
          <w:szCs w:val="22"/>
        </w:rPr>
        <w:t xml:space="preserve"> including charities.</w:t>
      </w:r>
      <w:r w:rsidR="00820DB5" w:rsidRPr="00631CBD">
        <w:rPr>
          <w:rFonts w:ascii="Arial" w:hAnsi="Arial" w:cs="Arial"/>
          <w:sz w:val="22"/>
          <w:szCs w:val="22"/>
        </w:rPr>
        <w:t xml:space="preserve">  </w:t>
      </w:r>
      <w:r w:rsidRPr="00631CBD">
        <w:rPr>
          <w:rFonts w:ascii="Arial" w:hAnsi="Arial" w:cs="Arial"/>
          <w:sz w:val="22"/>
          <w:szCs w:val="22"/>
        </w:rPr>
        <w:t xml:space="preserve">In circumstances where the members of the employee class cannot be ascertained, for example, if the employer company has become insolvent and no longer has any employees or employees </w:t>
      </w:r>
      <w:r w:rsidR="00820DB5" w:rsidRPr="00631CBD">
        <w:rPr>
          <w:rFonts w:ascii="Arial" w:hAnsi="Arial" w:cs="Arial"/>
          <w:sz w:val="22"/>
          <w:szCs w:val="22"/>
        </w:rPr>
        <w:t>of</w:t>
      </w:r>
      <w:r w:rsidRPr="00631CBD">
        <w:rPr>
          <w:rFonts w:ascii="Arial" w:hAnsi="Arial" w:cs="Arial"/>
          <w:sz w:val="22"/>
          <w:szCs w:val="22"/>
        </w:rPr>
        <w:t xml:space="preserve"> the relevant class, it may be </w:t>
      </w:r>
      <w:r w:rsidR="00820DB5" w:rsidRPr="00631CBD">
        <w:rPr>
          <w:rFonts w:ascii="Arial" w:hAnsi="Arial" w:cs="Arial"/>
          <w:sz w:val="22"/>
          <w:szCs w:val="22"/>
        </w:rPr>
        <w:t>appropriate to exercise any power of appointment which has been provided for in favour of charity for the benefit of a charitable institution or institutions</w:t>
      </w:r>
      <w:r w:rsidRPr="00631CBD">
        <w:rPr>
          <w:rFonts w:ascii="Arial" w:hAnsi="Arial" w:cs="Arial"/>
          <w:sz w:val="22"/>
          <w:szCs w:val="22"/>
        </w:rPr>
        <w:t xml:space="preserve">, rather than see the </w:t>
      </w:r>
      <w:r w:rsidR="00820DB5" w:rsidRPr="00631CBD">
        <w:rPr>
          <w:rFonts w:ascii="Arial" w:hAnsi="Arial" w:cs="Arial"/>
          <w:sz w:val="22"/>
          <w:szCs w:val="22"/>
        </w:rPr>
        <w:t>complete failure of the trust.</w:t>
      </w:r>
    </w:p>
    <w:p w14:paraId="03C239B4" w14:textId="77777777" w:rsidR="004B2009" w:rsidRPr="00631CBD" w:rsidRDefault="00DB0A5A" w:rsidP="00631CBD">
      <w:pPr>
        <w:pStyle w:val="Heading3"/>
        <w:spacing w:after="120" w:line="480" w:lineRule="auto"/>
        <w:rPr>
          <w:rFonts w:ascii="Arial" w:hAnsi="Arial" w:cs="Arial"/>
          <w:sz w:val="22"/>
          <w:szCs w:val="22"/>
        </w:rPr>
      </w:pPr>
      <w:bookmarkStart w:id="8" w:name="_Toc285803283"/>
      <w:r w:rsidRPr="00631CBD">
        <w:rPr>
          <w:rFonts w:ascii="Arial" w:hAnsi="Arial" w:cs="Arial"/>
          <w:sz w:val="22"/>
          <w:szCs w:val="22"/>
        </w:rPr>
        <w:lastRenderedPageBreak/>
        <w:t>Gift to charity, but</w:t>
      </w:r>
      <w:r w:rsidR="00BD36D1" w:rsidRPr="00631CBD">
        <w:rPr>
          <w:rFonts w:ascii="Arial" w:hAnsi="Arial" w:cs="Arial"/>
          <w:sz w:val="22"/>
          <w:szCs w:val="22"/>
        </w:rPr>
        <w:t xml:space="preserve"> administrative</w:t>
      </w:r>
      <w:r w:rsidRPr="00631CBD">
        <w:rPr>
          <w:rFonts w:ascii="Arial" w:hAnsi="Arial" w:cs="Arial"/>
          <w:sz w:val="22"/>
          <w:szCs w:val="22"/>
        </w:rPr>
        <w:t xml:space="preserve"> machinery of the trust has failed</w:t>
      </w:r>
      <w:bookmarkEnd w:id="8"/>
    </w:p>
    <w:p w14:paraId="4D2C57FA" w14:textId="77777777" w:rsidR="00D90188" w:rsidRPr="00631CBD" w:rsidRDefault="00797919" w:rsidP="00631CBD">
      <w:pPr>
        <w:spacing w:after="360" w:line="480" w:lineRule="auto"/>
        <w:rPr>
          <w:rFonts w:ascii="Arial" w:hAnsi="Arial" w:cs="Arial"/>
          <w:sz w:val="22"/>
          <w:szCs w:val="22"/>
        </w:rPr>
      </w:pPr>
      <w:r w:rsidRPr="00631CBD">
        <w:rPr>
          <w:rFonts w:ascii="Arial" w:hAnsi="Arial" w:cs="Arial"/>
          <w:sz w:val="22"/>
          <w:szCs w:val="22"/>
        </w:rPr>
        <w:t xml:space="preserve">In </w:t>
      </w:r>
      <w:r w:rsidR="00DB0A5A" w:rsidRPr="00631CBD">
        <w:rPr>
          <w:rFonts w:ascii="Arial" w:hAnsi="Arial" w:cs="Arial"/>
          <w:sz w:val="22"/>
          <w:szCs w:val="22"/>
        </w:rPr>
        <w:t xml:space="preserve">circumstances where there is an absence of any or a comprehensive and clear provision for the </w:t>
      </w:r>
      <w:r w:rsidR="00820DB5" w:rsidRPr="00631CBD">
        <w:rPr>
          <w:rFonts w:ascii="Arial" w:hAnsi="Arial" w:cs="Arial"/>
          <w:sz w:val="22"/>
          <w:szCs w:val="22"/>
        </w:rPr>
        <w:t>fate of trust property on termination</w:t>
      </w:r>
      <w:r w:rsidR="00DB0A5A" w:rsidRPr="00631CBD">
        <w:rPr>
          <w:rFonts w:ascii="Arial" w:hAnsi="Arial" w:cs="Arial"/>
          <w:sz w:val="22"/>
          <w:szCs w:val="22"/>
        </w:rPr>
        <w:t xml:space="preserve"> of the trust, courts will endeavour to give the trust deed </w:t>
      </w:r>
      <w:r w:rsidR="00820DB5" w:rsidRPr="00631CBD">
        <w:rPr>
          <w:rFonts w:ascii="Arial" w:hAnsi="Arial" w:cs="Arial"/>
          <w:sz w:val="22"/>
          <w:szCs w:val="22"/>
        </w:rPr>
        <w:t xml:space="preserve">or instrument </w:t>
      </w:r>
      <w:r w:rsidR="00DB0A5A" w:rsidRPr="00631CBD">
        <w:rPr>
          <w:rFonts w:ascii="Arial" w:hAnsi="Arial" w:cs="Arial"/>
          <w:sz w:val="22"/>
          <w:szCs w:val="22"/>
        </w:rPr>
        <w:t>efficacy</w:t>
      </w:r>
      <w:r w:rsidR="00820DB5" w:rsidRPr="00631CBD">
        <w:rPr>
          <w:rFonts w:ascii="Arial" w:hAnsi="Arial" w:cs="Arial"/>
          <w:sz w:val="22"/>
          <w:szCs w:val="22"/>
        </w:rPr>
        <w:t xml:space="preserve"> in this respect</w:t>
      </w:r>
      <w:r w:rsidR="00DB0A5A" w:rsidRPr="00631CBD">
        <w:rPr>
          <w:rFonts w:ascii="Arial" w:hAnsi="Arial" w:cs="Arial"/>
          <w:sz w:val="22"/>
          <w:szCs w:val="22"/>
        </w:rPr>
        <w:t xml:space="preserve">, construing it </w:t>
      </w:r>
      <w:r w:rsidR="00820DB5" w:rsidRPr="00631CBD">
        <w:rPr>
          <w:rFonts w:ascii="Arial" w:hAnsi="Arial" w:cs="Arial"/>
          <w:sz w:val="22"/>
          <w:szCs w:val="22"/>
        </w:rPr>
        <w:t>consistently</w:t>
      </w:r>
      <w:r w:rsidR="00DB0A5A" w:rsidRPr="00631CBD">
        <w:rPr>
          <w:rFonts w:ascii="Arial" w:hAnsi="Arial" w:cs="Arial"/>
          <w:sz w:val="22"/>
          <w:szCs w:val="22"/>
        </w:rPr>
        <w:t xml:space="preserve"> with the settlor’s intention insofar as possible; and as far as this can be discerned.  </w:t>
      </w:r>
      <w:r w:rsidR="00D90188" w:rsidRPr="00631CBD">
        <w:rPr>
          <w:rFonts w:ascii="Arial" w:hAnsi="Arial" w:cs="Arial"/>
          <w:sz w:val="22"/>
          <w:szCs w:val="22"/>
        </w:rPr>
        <w:t xml:space="preserve">In </w:t>
      </w:r>
      <w:r w:rsidR="00D90188" w:rsidRPr="00631CBD">
        <w:rPr>
          <w:rFonts w:ascii="Arial" w:hAnsi="Arial" w:cs="Arial"/>
          <w:i/>
          <w:sz w:val="22"/>
          <w:szCs w:val="22"/>
        </w:rPr>
        <w:t xml:space="preserve">Babcock, </w:t>
      </w:r>
      <w:r w:rsidR="00D90188" w:rsidRPr="00631CBD">
        <w:rPr>
          <w:rFonts w:ascii="Arial" w:hAnsi="Arial" w:cs="Arial"/>
          <w:sz w:val="22"/>
          <w:szCs w:val="22"/>
        </w:rPr>
        <w:t xml:space="preserve">charities were </w:t>
      </w:r>
      <w:r w:rsidR="00BD52DA" w:rsidRPr="00631CBD">
        <w:rPr>
          <w:rFonts w:ascii="Arial" w:hAnsi="Arial" w:cs="Arial"/>
          <w:sz w:val="22"/>
          <w:szCs w:val="22"/>
        </w:rPr>
        <w:t xml:space="preserve">provided for as </w:t>
      </w:r>
      <w:r w:rsidR="00D90188" w:rsidRPr="00631CBD">
        <w:rPr>
          <w:rFonts w:ascii="Arial" w:hAnsi="Arial" w:cs="Arial"/>
          <w:sz w:val="22"/>
          <w:szCs w:val="22"/>
        </w:rPr>
        <w:t xml:space="preserve">a potential beneficiary </w:t>
      </w:r>
      <w:r w:rsidR="00BD52DA" w:rsidRPr="00631CBD">
        <w:rPr>
          <w:rFonts w:ascii="Arial" w:hAnsi="Arial" w:cs="Arial"/>
          <w:sz w:val="22"/>
          <w:szCs w:val="22"/>
        </w:rPr>
        <w:t xml:space="preserve">or beneficiaries </w:t>
      </w:r>
      <w:r w:rsidR="00D90188" w:rsidRPr="00631CBD">
        <w:rPr>
          <w:rFonts w:ascii="Arial" w:hAnsi="Arial" w:cs="Arial"/>
          <w:sz w:val="22"/>
          <w:szCs w:val="22"/>
        </w:rPr>
        <w:t>on the termination of the trust, but the machinery of the trust did not anticipate the liquidation of the</w:t>
      </w:r>
      <w:r w:rsidR="00F76B96" w:rsidRPr="00631CBD">
        <w:rPr>
          <w:rFonts w:ascii="Arial" w:hAnsi="Arial" w:cs="Arial"/>
          <w:sz w:val="22"/>
          <w:szCs w:val="22"/>
        </w:rPr>
        <w:t xml:space="preserve"> relevant</w:t>
      </w:r>
      <w:r w:rsidR="00D90188" w:rsidRPr="00631CBD">
        <w:rPr>
          <w:rFonts w:ascii="Arial" w:hAnsi="Arial" w:cs="Arial"/>
          <w:sz w:val="22"/>
          <w:szCs w:val="22"/>
        </w:rPr>
        <w:t xml:space="preserve"> company.  In this situation, where the</w:t>
      </w:r>
      <w:r w:rsidR="00BD52DA" w:rsidRPr="00631CBD">
        <w:rPr>
          <w:rFonts w:ascii="Arial" w:hAnsi="Arial" w:cs="Arial"/>
          <w:sz w:val="22"/>
          <w:szCs w:val="22"/>
        </w:rPr>
        <w:t>re</w:t>
      </w:r>
      <w:r w:rsidR="00D90188" w:rsidRPr="00631CBD">
        <w:rPr>
          <w:rFonts w:ascii="Arial" w:hAnsi="Arial" w:cs="Arial"/>
          <w:sz w:val="22"/>
          <w:szCs w:val="22"/>
        </w:rPr>
        <w:t xml:space="preserve"> </w:t>
      </w:r>
      <w:r w:rsidR="00BD52DA" w:rsidRPr="00631CBD">
        <w:rPr>
          <w:rFonts w:ascii="Arial" w:hAnsi="Arial" w:cs="Arial"/>
          <w:sz w:val="22"/>
          <w:szCs w:val="22"/>
        </w:rPr>
        <w:t>was a clear provision for charity as a potential beneficial purpose</w:t>
      </w:r>
      <w:r w:rsidR="00D90188" w:rsidRPr="00631CBD">
        <w:rPr>
          <w:rFonts w:ascii="Arial" w:hAnsi="Arial" w:cs="Arial"/>
          <w:sz w:val="22"/>
          <w:szCs w:val="22"/>
        </w:rPr>
        <w:t xml:space="preserve"> on the termination of the trust</w:t>
      </w:r>
      <w:r w:rsidR="00BD52DA" w:rsidRPr="00631CBD">
        <w:rPr>
          <w:rFonts w:ascii="Arial" w:hAnsi="Arial" w:cs="Arial"/>
          <w:sz w:val="22"/>
          <w:szCs w:val="22"/>
        </w:rPr>
        <w:t>,</w:t>
      </w:r>
      <w:r w:rsidR="00D90188" w:rsidRPr="00631CBD">
        <w:rPr>
          <w:rFonts w:ascii="Arial" w:hAnsi="Arial" w:cs="Arial"/>
          <w:sz w:val="22"/>
          <w:szCs w:val="22"/>
        </w:rPr>
        <w:t xml:space="preserve"> </w:t>
      </w:r>
      <w:r w:rsidR="00BD52DA" w:rsidRPr="00631CBD">
        <w:rPr>
          <w:rFonts w:ascii="Arial" w:hAnsi="Arial" w:cs="Arial"/>
          <w:sz w:val="22"/>
          <w:szCs w:val="22"/>
        </w:rPr>
        <w:t>the settlor’s intention would be defeated if the trust were to be allowed to fail because of an unexpected contingency not catered for in the trust’s machinery</w:t>
      </w:r>
      <w:r w:rsidR="00D90188" w:rsidRPr="00631CBD">
        <w:rPr>
          <w:rFonts w:ascii="Arial" w:hAnsi="Arial" w:cs="Arial"/>
          <w:sz w:val="22"/>
          <w:szCs w:val="22"/>
        </w:rPr>
        <w:t>.</w:t>
      </w:r>
    </w:p>
    <w:p w14:paraId="3937E464" w14:textId="77777777" w:rsidR="00D1580E" w:rsidRPr="00631CBD" w:rsidRDefault="00D1580E" w:rsidP="00631CBD">
      <w:pPr>
        <w:pStyle w:val="Heading4"/>
        <w:spacing w:line="480" w:lineRule="auto"/>
        <w:rPr>
          <w:rFonts w:ascii="Arial" w:hAnsi="Arial" w:cs="Arial"/>
          <w:b/>
          <w:i/>
          <w:sz w:val="22"/>
          <w:szCs w:val="22"/>
          <w:u w:val="none"/>
        </w:rPr>
      </w:pPr>
      <w:bookmarkStart w:id="9" w:name="_Toc285803284"/>
      <w:r w:rsidRPr="00631CBD">
        <w:rPr>
          <w:rFonts w:ascii="Arial" w:hAnsi="Arial" w:cs="Arial"/>
          <w:b/>
          <w:i/>
          <w:sz w:val="22"/>
          <w:szCs w:val="22"/>
          <w:u w:val="none"/>
        </w:rPr>
        <w:t xml:space="preserve">Where the nominating entity cannot </w:t>
      </w:r>
      <w:r w:rsidR="00F76B96" w:rsidRPr="00631CBD">
        <w:rPr>
          <w:rFonts w:ascii="Arial" w:hAnsi="Arial" w:cs="Arial"/>
          <w:b/>
          <w:i/>
          <w:sz w:val="22"/>
          <w:szCs w:val="22"/>
          <w:u w:val="none"/>
        </w:rPr>
        <w:t>act</w:t>
      </w:r>
      <w:bookmarkEnd w:id="9"/>
    </w:p>
    <w:p w14:paraId="3041B09D" w14:textId="77777777" w:rsidR="00D1580E" w:rsidRPr="00631CBD" w:rsidRDefault="00D1580E" w:rsidP="00631CBD">
      <w:pPr>
        <w:spacing w:after="360" w:line="480" w:lineRule="auto"/>
        <w:rPr>
          <w:rFonts w:ascii="Arial" w:hAnsi="Arial" w:cs="Arial"/>
          <w:sz w:val="22"/>
          <w:szCs w:val="22"/>
        </w:rPr>
      </w:pPr>
      <w:r w:rsidRPr="00631CBD">
        <w:rPr>
          <w:rFonts w:ascii="Arial" w:hAnsi="Arial" w:cs="Arial"/>
          <w:sz w:val="22"/>
          <w:szCs w:val="22"/>
        </w:rPr>
        <w:t>Where the trust fails</w:t>
      </w:r>
      <w:r w:rsidR="00BD52DA" w:rsidRPr="00631CBD">
        <w:rPr>
          <w:rFonts w:ascii="Arial" w:hAnsi="Arial" w:cs="Arial"/>
          <w:sz w:val="22"/>
          <w:szCs w:val="22"/>
        </w:rPr>
        <w:t xml:space="preserve"> or terminates where there</w:t>
      </w:r>
      <w:r w:rsidRPr="00631CBD">
        <w:rPr>
          <w:rFonts w:ascii="Arial" w:hAnsi="Arial" w:cs="Arial"/>
          <w:sz w:val="22"/>
          <w:szCs w:val="22"/>
        </w:rPr>
        <w:t xml:space="preserve"> are no </w:t>
      </w:r>
      <w:r w:rsidR="00BD52DA" w:rsidRPr="00631CBD">
        <w:rPr>
          <w:rFonts w:ascii="Arial" w:hAnsi="Arial" w:cs="Arial"/>
          <w:sz w:val="22"/>
          <w:szCs w:val="22"/>
        </w:rPr>
        <w:t xml:space="preserve">or inadequate </w:t>
      </w:r>
      <w:r w:rsidRPr="00631CBD">
        <w:rPr>
          <w:rFonts w:ascii="Arial" w:hAnsi="Arial" w:cs="Arial"/>
          <w:sz w:val="22"/>
          <w:szCs w:val="22"/>
        </w:rPr>
        <w:t xml:space="preserve">provisions for distribution </w:t>
      </w:r>
      <w:r w:rsidR="00BD52DA" w:rsidRPr="00631CBD">
        <w:rPr>
          <w:rFonts w:ascii="Arial" w:hAnsi="Arial" w:cs="Arial"/>
          <w:sz w:val="22"/>
          <w:szCs w:val="22"/>
        </w:rPr>
        <w:t xml:space="preserve">of the trust property </w:t>
      </w:r>
      <w:r w:rsidRPr="00631CBD">
        <w:rPr>
          <w:rFonts w:ascii="Arial" w:hAnsi="Arial" w:cs="Arial"/>
          <w:sz w:val="22"/>
          <w:szCs w:val="22"/>
        </w:rPr>
        <w:t xml:space="preserve">or the nominated person or entity </w:t>
      </w:r>
      <w:r w:rsidR="00BD52DA" w:rsidRPr="00631CBD">
        <w:rPr>
          <w:rFonts w:ascii="Arial" w:hAnsi="Arial" w:cs="Arial"/>
          <w:sz w:val="22"/>
          <w:szCs w:val="22"/>
        </w:rPr>
        <w:t xml:space="preserve">empowered </w:t>
      </w:r>
      <w:r w:rsidRPr="00631CBD">
        <w:rPr>
          <w:rFonts w:ascii="Arial" w:hAnsi="Arial" w:cs="Arial"/>
          <w:sz w:val="22"/>
          <w:szCs w:val="22"/>
        </w:rPr>
        <w:t xml:space="preserve">to determine and </w:t>
      </w:r>
      <w:r w:rsidR="00BD52DA" w:rsidRPr="00631CBD">
        <w:rPr>
          <w:rFonts w:ascii="Arial" w:hAnsi="Arial" w:cs="Arial"/>
          <w:sz w:val="22"/>
          <w:szCs w:val="22"/>
        </w:rPr>
        <w:t>administer</w:t>
      </w:r>
      <w:r w:rsidRPr="00631CBD">
        <w:rPr>
          <w:rFonts w:ascii="Arial" w:hAnsi="Arial" w:cs="Arial"/>
          <w:sz w:val="22"/>
          <w:szCs w:val="22"/>
        </w:rPr>
        <w:t xml:space="preserve"> distribution no longer exists or is incapable of acting, the position is more complicated.  Where there are </w:t>
      </w:r>
      <w:r w:rsidR="00BD52DA" w:rsidRPr="00631CBD">
        <w:rPr>
          <w:rFonts w:ascii="Arial" w:hAnsi="Arial" w:cs="Arial"/>
          <w:sz w:val="22"/>
          <w:szCs w:val="22"/>
        </w:rPr>
        <w:t>potential</w:t>
      </w:r>
      <w:r w:rsidRPr="00631CBD">
        <w:rPr>
          <w:rFonts w:ascii="Arial" w:hAnsi="Arial" w:cs="Arial"/>
          <w:sz w:val="22"/>
          <w:szCs w:val="22"/>
        </w:rPr>
        <w:t xml:space="preserve"> beneficiaries </w:t>
      </w:r>
      <w:r w:rsidR="00BD52DA" w:rsidRPr="00631CBD">
        <w:rPr>
          <w:rFonts w:ascii="Arial" w:hAnsi="Arial" w:cs="Arial"/>
          <w:sz w:val="22"/>
          <w:szCs w:val="22"/>
        </w:rPr>
        <w:t xml:space="preserve">in these circumstances </w:t>
      </w:r>
      <w:r w:rsidRPr="00631CBD">
        <w:rPr>
          <w:rFonts w:ascii="Arial" w:hAnsi="Arial" w:cs="Arial"/>
          <w:sz w:val="22"/>
          <w:szCs w:val="22"/>
        </w:rPr>
        <w:t>and the person or entity nominated to exercise the discretion</w:t>
      </w:r>
      <w:r w:rsidR="00DE02B5" w:rsidRPr="00631CBD">
        <w:rPr>
          <w:rFonts w:ascii="Arial" w:hAnsi="Arial" w:cs="Arial"/>
          <w:sz w:val="22"/>
          <w:szCs w:val="22"/>
        </w:rPr>
        <w:t xml:space="preserve"> or any</w:t>
      </w:r>
      <w:r w:rsidR="00BD52DA" w:rsidRPr="00631CBD">
        <w:rPr>
          <w:rFonts w:ascii="Arial" w:hAnsi="Arial" w:cs="Arial"/>
          <w:sz w:val="22"/>
          <w:szCs w:val="22"/>
        </w:rPr>
        <w:t xml:space="preserve"> power of</w:t>
      </w:r>
      <w:r w:rsidRPr="00631CBD">
        <w:rPr>
          <w:rFonts w:ascii="Arial" w:hAnsi="Arial" w:cs="Arial"/>
          <w:sz w:val="22"/>
          <w:szCs w:val="22"/>
        </w:rPr>
        <w:t xml:space="preserve"> distribution does not exist, or cannot be constituted in some way (for example, if the trust deed </w:t>
      </w:r>
      <w:r w:rsidR="00BD52DA" w:rsidRPr="00631CBD">
        <w:rPr>
          <w:rFonts w:ascii="Arial" w:hAnsi="Arial" w:cs="Arial"/>
          <w:sz w:val="22"/>
          <w:szCs w:val="22"/>
        </w:rPr>
        <w:t xml:space="preserve">or instrument </w:t>
      </w:r>
      <w:r w:rsidRPr="00631CBD">
        <w:rPr>
          <w:rFonts w:ascii="Arial" w:hAnsi="Arial" w:cs="Arial"/>
          <w:sz w:val="22"/>
          <w:szCs w:val="22"/>
        </w:rPr>
        <w:t xml:space="preserve">provides that the nominee is to be the directors of a company that subsequently ceases trading, becomes insolvent and is placed in liquidation), the exercise of </w:t>
      </w:r>
      <w:r w:rsidRPr="00631CBD">
        <w:rPr>
          <w:rFonts w:ascii="Arial" w:hAnsi="Arial" w:cs="Arial"/>
          <w:sz w:val="22"/>
          <w:szCs w:val="22"/>
        </w:rPr>
        <w:lastRenderedPageBreak/>
        <w:t>this power may depend solely on the exercise of the powers of the court, as a court of equity – stemming from its inherent jurisdiction or pursuant to statute.</w:t>
      </w:r>
    </w:p>
    <w:p w14:paraId="63213A2B" w14:textId="77777777" w:rsidR="00D1580E" w:rsidRPr="00631CBD" w:rsidRDefault="00D1580E" w:rsidP="00631CBD">
      <w:pPr>
        <w:pStyle w:val="Heading4"/>
        <w:spacing w:line="480" w:lineRule="auto"/>
        <w:rPr>
          <w:rFonts w:ascii="Arial" w:hAnsi="Arial" w:cs="Arial"/>
          <w:b/>
          <w:i/>
          <w:sz w:val="22"/>
          <w:szCs w:val="22"/>
          <w:u w:val="none"/>
        </w:rPr>
      </w:pPr>
      <w:bookmarkStart w:id="10" w:name="_Toc285803285"/>
      <w:r w:rsidRPr="00631CBD">
        <w:rPr>
          <w:rFonts w:ascii="Arial" w:hAnsi="Arial" w:cs="Arial"/>
          <w:b/>
          <w:i/>
          <w:sz w:val="22"/>
          <w:szCs w:val="22"/>
          <w:u w:val="none"/>
        </w:rPr>
        <w:t>The impact of liquidation</w:t>
      </w:r>
      <w:bookmarkEnd w:id="10"/>
    </w:p>
    <w:p w14:paraId="0CC17A3C" w14:textId="77777777" w:rsidR="00D1580E" w:rsidRPr="00631CBD" w:rsidRDefault="00D1580E" w:rsidP="00631CBD">
      <w:pPr>
        <w:spacing w:after="360" w:line="480" w:lineRule="auto"/>
        <w:rPr>
          <w:rFonts w:ascii="Arial" w:hAnsi="Arial" w:cs="Arial"/>
          <w:sz w:val="22"/>
          <w:szCs w:val="22"/>
        </w:rPr>
      </w:pPr>
      <w:r w:rsidRPr="00631CBD">
        <w:rPr>
          <w:rFonts w:ascii="Arial" w:hAnsi="Arial" w:cs="Arial"/>
          <w:sz w:val="22"/>
          <w:szCs w:val="22"/>
        </w:rPr>
        <w:t>A</w:t>
      </w:r>
      <w:r w:rsidR="00BD52DA" w:rsidRPr="00631CBD">
        <w:rPr>
          <w:rFonts w:ascii="Arial" w:hAnsi="Arial" w:cs="Arial"/>
          <w:sz w:val="22"/>
          <w:szCs w:val="22"/>
        </w:rPr>
        <w:t>s foreshadowed, a</w:t>
      </w:r>
      <w:r w:rsidRPr="00631CBD">
        <w:rPr>
          <w:rFonts w:ascii="Arial" w:hAnsi="Arial" w:cs="Arial"/>
          <w:sz w:val="22"/>
          <w:szCs w:val="22"/>
        </w:rPr>
        <w:t xml:space="preserve"> problem may arise if the settlor or the donee of the power to select </w:t>
      </w:r>
      <w:r w:rsidR="00BD52DA" w:rsidRPr="00631CBD">
        <w:rPr>
          <w:rFonts w:ascii="Arial" w:hAnsi="Arial" w:cs="Arial"/>
          <w:sz w:val="22"/>
          <w:szCs w:val="22"/>
        </w:rPr>
        <w:t xml:space="preserve">from the class or classes of potential </w:t>
      </w:r>
      <w:r w:rsidRPr="00631CBD">
        <w:rPr>
          <w:rFonts w:ascii="Arial" w:hAnsi="Arial" w:cs="Arial"/>
          <w:sz w:val="22"/>
          <w:szCs w:val="22"/>
        </w:rPr>
        <w:t xml:space="preserve">beneficiaries and </w:t>
      </w:r>
      <w:r w:rsidR="00FF2BA0" w:rsidRPr="00631CBD">
        <w:rPr>
          <w:rFonts w:ascii="Arial" w:hAnsi="Arial" w:cs="Arial"/>
          <w:sz w:val="22"/>
          <w:szCs w:val="22"/>
        </w:rPr>
        <w:t xml:space="preserve">to administer </w:t>
      </w:r>
      <w:r w:rsidRPr="00631CBD">
        <w:rPr>
          <w:rFonts w:ascii="Arial" w:hAnsi="Arial" w:cs="Arial"/>
          <w:sz w:val="22"/>
          <w:szCs w:val="22"/>
        </w:rPr>
        <w:t xml:space="preserve">distribution, is unable to exercise </w:t>
      </w:r>
      <w:r w:rsidR="00FF2BA0" w:rsidRPr="00631CBD">
        <w:rPr>
          <w:rFonts w:ascii="Arial" w:hAnsi="Arial" w:cs="Arial"/>
          <w:sz w:val="22"/>
          <w:szCs w:val="22"/>
        </w:rPr>
        <w:t>the</w:t>
      </w:r>
      <w:r w:rsidRPr="00631CBD">
        <w:rPr>
          <w:rFonts w:ascii="Arial" w:hAnsi="Arial" w:cs="Arial"/>
          <w:sz w:val="22"/>
          <w:szCs w:val="22"/>
        </w:rPr>
        <w:t xml:space="preserve"> power as a result of insolvency</w:t>
      </w:r>
      <w:r w:rsidR="00FF2BA0" w:rsidRPr="00631CBD">
        <w:rPr>
          <w:rFonts w:ascii="Arial" w:hAnsi="Arial" w:cs="Arial"/>
          <w:sz w:val="22"/>
          <w:szCs w:val="22"/>
        </w:rPr>
        <w:t xml:space="preserve"> and consequent liquidation</w:t>
      </w:r>
      <w:r w:rsidRPr="00631CBD">
        <w:rPr>
          <w:rFonts w:ascii="Arial" w:hAnsi="Arial" w:cs="Arial"/>
          <w:sz w:val="22"/>
          <w:szCs w:val="22"/>
        </w:rPr>
        <w:t>.  There is no general principle that all powers formerly exercisable by particular officers of a company are, on the commencement of its liquidation, transferred to the liquidator.</w:t>
      </w:r>
      <w:r w:rsidRPr="00631CBD">
        <w:rPr>
          <w:rStyle w:val="FootnoteReference"/>
          <w:rFonts w:ascii="Arial" w:hAnsi="Arial" w:cs="Arial"/>
          <w:sz w:val="22"/>
          <w:szCs w:val="22"/>
        </w:rPr>
        <w:footnoteReference w:id="28"/>
      </w:r>
      <w:r w:rsidRPr="00631CBD">
        <w:rPr>
          <w:rFonts w:ascii="Arial" w:hAnsi="Arial" w:cs="Arial"/>
          <w:sz w:val="22"/>
          <w:szCs w:val="22"/>
        </w:rPr>
        <w:t xml:space="preserve">  It is necessary to look to the terms of the trust deed</w:t>
      </w:r>
      <w:r w:rsidR="00FF2BA0" w:rsidRPr="00631CBD">
        <w:rPr>
          <w:rFonts w:ascii="Arial" w:hAnsi="Arial" w:cs="Arial"/>
          <w:sz w:val="22"/>
          <w:szCs w:val="22"/>
        </w:rPr>
        <w:t xml:space="preserve"> or instrument and</w:t>
      </w:r>
      <w:r w:rsidRPr="00631CBD">
        <w:rPr>
          <w:rFonts w:ascii="Arial" w:hAnsi="Arial" w:cs="Arial"/>
          <w:sz w:val="22"/>
          <w:szCs w:val="22"/>
        </w:rPr>
        <w:t xml:space="preserve">, where relevant, the </w:t>
      </w:r>
      <w:r w:rsidRPr="00631CBD">
        <w:rPr>
          <w:rFonts w:ascii="Arial" w:hAnsi="Arial" w:cs="Arial"/>
          <w:i/>
          <w:sz w:val="22"/>
          <w:szCs w:val="22"/>
        </w:rPr>
        <w:t xml:space="preserve">Corporations Act </w:t>
      </w:r>
      <w:r w:rsidRPr="00631CBD">
        <w:rPr>
          <w:rFonts w:ascii="Arial" w:hAnsi="Arial" w:cs="Arial"/>
          <w:sz w:val="22"/>
          <w:szCs w:val="22"/>
        </w:rPr>
        <w:t xml:space="preserve">2001 (Cth) to determine whether the liquidator is able to exercise a particular power.  If the trust deed </w:t>
      </w:r>
      <w:r w:rsidR="00FF2BA0" w:rsidRPr="00631CBD">
        <w:rPr>
          <w:rFonts w:ascii="Arial" w:hAnsi="Arial" w:cs="Arial"/>
          <w:sz w:val="22"/>
          <w:szCs w:val="22"/>
        </w:rPr>
        <w:t xml:space="preserve">or instrument </w:t>
      </w:r>
      <w:r w:rsidRPr="00631CBD">
        <w:rPr>
          <w:rFonts w:ascii="Arial" w:hAnsi="Arial" w:cs="Arial"/>
          <w:sz w:val="22"/>
          <w:szCs w:val="22"/>
        </w:rPr>
        <w:t>provides, expressly or impliedly, that on winding up of the company the power is exercisable by the liquidator, this will enable the liquidator to act.</w:t>
      </w:r>
      <w:r w:rsidRPr="00631CBD">
        <w:rPr>
          <w:rStyle w:val="FootnoteReference"/>
          <w:rFonts w:ascii="Arial" w:hAnsi="Arial" w:cs="Arial"/>
          <w:sz w:val="22"/>
          <w:szCs w:val="22"/>
        </w:rPr>
        <w:footnoteReference w:id="29"/>
      </w:r>
      <w:r w:rsidRPr="00631CBD">
        <w:rPr>
          <w:rFonts w:ascii="Arial" w:hAnsi="Arial" w:cs="Arial"/>
          <w:sz w:val="22"/>
          <w:szCs w:val="22"/>
        </w:rPr>
        <w:t xml:space="preserve">  However, if no such provision is made, it is unlikely a liquidator will be able to exercise such a power.  The power is not an asset of the company, and it is not necessary for the liquidator to exercise it in winding up the affairs of the insolvent corporate entity and distributing its property.</w:t>
      </w:r>
      <w:r w:rsidRPr="00631CBD">
        <w:rPr>
          <w:rStyle w:val="FootnoteReference"/>
          <w:rFonts w:ascii="Arial" w:hAnsi="Arial" w:cs="Arial"/>
          <w:sz w:val="22"/>
          <w:szCs w:val="22"/>
        </w:rPr>
        <w:footnoteReference w:id="30"/>
      </w:r>
    </w:p>
    <w:p w14:paraId="757B17E0" w14:textId="77777777" w:rsidR="00D1580E" w:rsidRPr="00631CBD" w:rsidRDefault="00D1580E" w:rsidP="00631CBD">
      <w:pPr>
        <w:pStyle w:val="AdviceBodyText"/>
        <w:numPr>
          <w:ilvl w:val="0"/>
          <w:numId w:val="0"/>
        </w:numPr>
        <w:spacing w:line="480" w:lineRule="auto"/>
        <w:rPr>
          <w:rFonts w:ascii="Arial" w:hAnsi="Arial" w:cs="Arial"/>
          <w:sz w:val="22"/>
          <w:szCs w:val="22"/>
        </w:rPr>
      </w:pPr>
      <w:r w:rsidRPr="00631CBD">
        <w:rPr>
          <w:rFonts w:ascii="Arial" w:hAnsi="Arial" w:cs="Arial"/>
          <w:sz w:val="22"/>
          <w:szCs w:val="22"/>
        </w:rPr>
        <w:lastRenderedPageBreak/>
        <w:t xml:space="preserve">In </w:t>
      </w:r>
      <w:r w:rsidRPr="00631CBD">
        <w:rPr>
          <w:rFonts w:ascii="Arial" w:hAnsi="Arial" w:cs="Arial"/>
          <w:i/>
          <w:sz w:val="22"/>
          <w:szCs w:val="22"/>
        </w:rPr>
        <w:t>Babcock</w:t>
      </w:r>
      <w:r w:rsidRPr="00631CBD">
        <w:rPr>
          <w:rFonts w:ascii="Arial" w:hAnsi="Arial" w:cs="Arial"/>
          <w:sz w:val="22"/>
          <w:szCs w:val="22"/>
        </w:rPr>
        <w:t>, for example, it was suggested that it would be open to the liquidator of the insolvent Babcock</w:t>
      </w:r>
      <w:r w:rsidR="0018391C" w:rsidRPr="00631CBD">
        <w:rPr>
          <w:rFonts w:ascii="Arial" w:hAnsi="Arial" w:cs="Arial"/>
          <w:sz w:val="22"/>
          <w:szCs w:val="22"/>
        </w:rPr>
        <w:t xml:space="preserve"> &amp; Brown</w:t>
      </w:r>
      <w:r w:rsidRPr="00631CBD">
        <w:rPr>
          <w:rFonts w:ascii="Arial" w:hAnsi="Arial" w:cs="Arial"/>
          <w:sz w:val="22"/>
          <w:szCs w:val="22"/>
        </w:rPr>
        <w:t xml:space="preserve"> entity to exercise the powers of the</w:t>
      </w:r>
      <w:r w:rsidR="00F76B96" w:rsidRPr="00631CBD">
        <w:rPr>
          <w:rFonts w:ascii="Arial" w:hAnsi="Arial" w:cs="Arial"/>
          <w:sz w:val="22"/>
          <w:szCs w:val="22"/>
        </w:rPr>
        <w:t xml:space="preserve"> donee of the power</w:t>
      </w:r>
      <w:r w:rsidRPr="00631CBD">
        <w:rPr>
          <w:rFonts w:ascii="Arial" w:hAnsi="Arial" w:cs="Arial"/>
          <w:sz w:val="22"/>
          <w:szCs w:val="22"/>
        </w:rPr>
        <w:t xml:space="preserve">; either to appoint a fresh donee or to act, in effect, in that capacity as the donee of this power.  Although a liquidator, in general terms, stands in the shoes of the board of directors of the company of which he or she is liquidator, it does not follow that the liquidator necessarily has capacity to exercise all the powers of the board of directors, in whatever capacity.  This was made clear in the judgment of McLelland CJ in Eq in </w:t>
      </w:r>
      <w:r w:rsidRPr="00631CBD">
        <w:rPr>
          <w:rFonts w:ascii="Arial" w:hAnsi="Arial" w:cs="Arial"/>
          <w:i/>
          <w:sz w:val="22"/>
          <w:szCs w:val="22"/>
        </w:rPr>
        <w:t>Butterell v Docker Smith Pty Ltd</w:t>
      </w:r>
      <w:r w:rsidRPr="00631CBD">
        <w:rPr>
          <w:rStyle w:val="FootnoteReference"/>
          <w:rFonts w:ascii="Arial" w:hAnsi="Arial" w:cs="Arial"/>
          <w:sz w:val="22"/>
          <w:szCs w:val="22"/>
        </w:rPr>
        <w:footnoteReference w:id="31"/>
      </w:r>
      <w:r w:rsidRPr="00631CBD">
        <w:rPr>
          <w:rFonts w:ascii="Arial" w:hAnsi="Arial" w:cs="Arial"/>
          <w:i/>
          <w:sz w:val="22"/>
          <w:szCs w:val="22"/>
        </w:rPr>
        <w:t xml:space="preserve"> </w:t>
      </w:r>
      <w:r w:rsidRPr="00631CBD">
        <w:rPr>
          <w:rFonts w:ascii="Arial" w:hAnsi="Arial" w:cs="Arial"/>
          <w:sz w:val="22"/>
          <w:szCs w:val="22"/>
        </w:rPr>
        <w:t>where</w:t>
      </w:r>
      <w:r w:rsidRPr="00631CBD">
        <w:rPr>
          <w:rFonts w:ascii="Arial" w:hAnsi="Arial" w:cs="Arial"/>
          <w:i/>
          <w:sz w:val="22"/>
          <w:szCs w:val="22"/>
        </w:rPr>
        <w:t xml:space="preserve"> </w:t>
      </w:r>
      <w:r w:rsidRPr="00631CBD">
        <w:rPr>
          <w:rFonts w:ascii="Arial" w:hAnsi="Arial" w:cs="Arial"/>
          <w:sz w:val="22"/>
          <w:szCs w:val="22"/>
        </w:rPr>
        <w:t>his Honour reviewed a number of authorities which establish matters of principle with respect to the differing functions and capacity of a board of directors and a liquidator:</w:t>
      </w:r>
      <w:r w:rsidRPr="00631CBD">
        <w:rPr>
          <w:rStyle w:val="FootnoteReference"/>
          <w:rFonts w:ascii="Arial" w:hAnsi="Arial" w:cs="Arial"/>
          <w:sz w:val="22"/>
          <w:szCs w:val="22"/>
        </w:rPr>
        <w:footnoteReference w:id="32"/>
      </w:r>
    </w:p>
    <w:p w14:paraId="0E4FE28A" w14:textId="77777777" w:rsidR="00D1580E" w:rsidRPr="00631CBD" w:rsidRDefault="00D1580E" w:rsidP="00631CBD">
      <w:pPr>
        <w:pStyle w:val="Quote1"/>
        <w:spacing w:line="480" w:lineRule="auto"/>
        <w:ind w:left="1440" w:firstLine="0"/>
        <w:rPr>
          <w:rFonts w:ascii="Arial" w:hAnsi="Arial" w:cs="Arial"/>
          <w:szCs w:val="22"/>
        </w:rPr>
      </w:pPr>
      <w:r w:rsidRPr="00631CBD">
        <w:rPr>
          <w:rFonts w:ascii="Arial" w:hAnsi="Arial" w:cs="Arial"/>
          <w:szCs w:val="22"/>
        </w:rPr>
        <w:t xml:space="preserve">“However, in my opinion there are two reasons why such a term cannot properly be implied in the rules (and in the contracts of insurance incorporating the rules) in the present case.  The first is that the winding up of the Society did not render impossible the exercise by the Board of its powers.  What it did do was, relevantly, to make the continuance (and therefore the exercise) of any of those powers conditional upon the approval of the committee of inspection (or if there were no such committee, the approval of the creditors) - see s499(4) and cf </w:t>
      </w:r>
      <w:r w:rsidRPr="00631CBD">
        <w:rPr>
          <w:rFonts w:ascii="Arial" w:hAnsi="Arial" w:cs="Arial"/>
          <w:i/>
          <w:szCs w:val="22"/>
        </w:rPr>
        <w:t>Austral Brick Co Pty Ltd v Falgat Constructions</w:t>
      </w:r>
      <w:r w:rsidRPr="00631CBD">
        <w:rPr>
          <w:rFonts w:ascii="Arial" w:hAnsi="Arial" w:cs="Arial"/>
          <w:szCs w:val="22"/>
        </w:rPr>
        <w:t xml:space="preserve"> </w:t>
      </w:r>
      <w:r w:rsidRPr="00631CBD">
        <w:rPr>
          <w:rFonts w:ascii="Arial" w:hAnsi="Arial" w:cs="Arial"/>
          <w:i/>
          <w:szCs w:val="22"/>
        </w:rPr>
        <w:t>Pty Ltd</w:t>
      </w:r>
      <w:r w:rsidRPr="00631CBD">
        <w:rPr>
          <w:rFonts w:ascii="Arial" w:hAnsi="Arial" w:cs="Arial"/>
          <w:szCs w:val="22"/>
        </w:rPr>
        <w:t xml:space="preserve"> (1990) 21 NSWLR 389).  The second reason is that it is far from obvious that insured members who were willing to subject themselves to the exercise of discretionary powers to impose liabilities on them by the Board, an elected collegiate body the members of which had to have special qualifications (see r4(2)), while the Society was a going concern, would have been willing that, in the event of the liquidation and insolvency of the Society, they be subject to equivalent powers vested in a liquidator, particularly where the funds to be raised by Supplementary Subscription are not necessarily confined to the payment of insurance claims </w:t>
      </w:r>
      <w:r w:rsidRPr="00631CBD">
        <w:rPr>
          <w:rFonts w:ascii="Arial" w:hAnsi="Arial" w:cs="Arial"/>
          <w:szCs w:val="22"/>
        </w:rPr>
        <w:lastRenderedPageBreak/>
        <w:t xml:space="preserve">made by insured members, but might extend to ‘other expenses or outgoings which in the opinion of [the liquidator] necessarily and properly fall upon the Society in respect of [the relevant] Policy Year’ (see r13(1)(A)).  These might include liabilities of the Society unrelated to the Scheme. </w:t>
      </w:r>
    </w:p>
    <w:p w14:paraId="29B28CD8" w14:textId="77777777" w:rsidR="00D1580E" w:rsidRPr="00631CBD" w:rsidRDefault="00D1580E" w:rsidP="00631CBD">
      <w:pPr>
        <w:pStyle w:val="Quote1"/>
        <w:spacing w:line="480" w:lineRule="auto"/>
        <w:ind w:left="2261"/>
        <w:rPr>
          <w:rFonts w:ascii="Arial" w:hAnsi="Arial" w:cs="Arial"/>
          <w:szCs w:val="22"/>
          <w:lang w:eastAsia="en-AU"/>
        </w:rPr>
      </w:pPr>
      <w:r w:rsidRPr="00631CBD">
        <w:rPr>
          <w:rFonts w:ascii="Arial" w:hAnsi="Arial" w:cs="Arial"/>
          <w:szCs w:val="22"/>
          <w:lang w:eastAsia="en-AU"/>
        </w:rPr>
        <w:t xml:space="preserve">  Reliance was placed by counsel for the liquidator on the decision of Beach J in </w:t>
      </w:r>
      <w:r w:rsidRPr="00631CBD">
        <w:rPr>
          <w:rFonts w:ascii="Arial" w:hAnsi="Arial" w:cs="Arial"/>
          <w:i/>
          <w:szCs w:val="22"/>
          <w:lang w:eastAsia="en-AU"/>
        </w:rPr>
        <w:t>Pyramid Building Society v Howell</w:t>
      </w:r>
      <w:r w:rsidRPr="00631CBD">
        <w:rPr>
          <w:rFonts w:ascii="Arial" w:hAnsi="Arial" w:cs="Arial"/>
          <w:szCs w:val="22"/>
          <w:lang w:eastAsia="en-AU"/>
        </w:rPr>
        <w:t xml:space="preserve"> (1994) 14 ACSR 633.  In that case it was held that s 477(2)(d) of the </w:t>
      </w:r>
      <w:r w:rsidRPr="00631CBD">
        <w:rPr>
          <w:rFonts w:ascii="Arial" w:hAnsi="Arial" w:cs="Arial"/>
          <w:i/>
          <w:szCs w:val="22"/>
          <w:lang w:eastAsia="en-AU"/>
        </w:rPr>
        <w:t>Corporations Law</w:t>
      </w:r>
      <w:r w:rsidRPr="00631CBD">
        <w:rPr>
          <w:rFonts w:ascii="Arial" w:hAnsi="Arial" w:cs="Arial"/>
          <w:szCs w:val="22"/>
          <w:lang w:eastAsia="en-AU"/>
        </w:rPr>
        <w:t xml:space="preserve"> empowered a delegate of the liquidator of a building society (to which the relevant provisions of the </w:t>
      </w:r>
      <w:r w:rsidRPr="00631CBD">
        <w:rPr>
          <w:rFonts w:ascii="Arial" w:hAnsi="Arial" w:cs="Arial"/>
          <w:i/>
          <w:szCs w:val="22"/>
          <w:lang w:eastAsia="en-AU"/>
        </w:rPr>
        <w:t>Corporations Law</w:t>
      </w:r>
      <w:r w:rsidRPr="00631CBD">
        <w:rPr>
          <w:rFonts w:ascii="Arial" w:hAnsi="Arial" w:cs="Arial"/>
          <w:szCs w:val="22"/>
          <w:lang w:eastAsia="en-AU"/>
        </w:rPr>
        <w:t xml:space="preserve"> were made applicable) to sign a certificate so as to constitute prima facie evidence of the amount recoverable by the Society under a contract of guarantee for the purposes of a clause in that contract which was expressed to give such an effect to a certificate ‘signed under the hand of any Director or Commercial Lending Manager or Loan Administration Manager of the [Society]’.  If that decision is to be understood as propounding a general or prima facie principle of the transfer to a liquidator of all powers formerly exercisable by particular officers of a company, then with great respect I am unable to agree with it.  Although to say that in a winding up the powers formerly exercisable by company officers are transferred to the liquidator is in a general sense loosely descriptive of what occurs, it is conceptually inaccurate.  The office of liquidator is a statutory office, and the liquidator's powers derive solely from the relevant statute, in this case the </w:t>
      </w:r>
      <w:r w:rsidRPr="00631CBD">
        <w:rPr>
          <w:rFonts w:ascii="Arial" w:hAnsi="Arial" w:cs="Arial"/>
          <w:i/>
          <w:szCs w:val="22"/>
          <w:lang w:eastAsia="en-AU"/>
        </w:rPr>
        <w:t>Corporations Law</w:t>
      </w:r>
      <w:r w:rsidRPr="00631CBD">
        <w:rPr>
          <w:rFonts w:ascii="Arial" w:hAnsi="Arial" w:cs="Arial"/>
          <w:szCs w:val="22"/>
          <w:lang w:eastAsia="en-AU"/>
        </w:rPr>
        <w:t xml:space="preserve">.  As Sackville J observed in </w:t>
      </w:r>
      <w:r w:rsidRPr="00631CBD">
        <w:rPr>
          <w:rFonts w:ascii="Arial" w:hAnsi="Arial" w:cs="Arial"/>
          <w:i/>
          <w:szCs w:val="22"/>
          <w:lang w:eastAsia="en-AU"/>
        </w:rPr>
        <w:t>Dallhold Investments</w:t>
      </w:r>
      <w:r w:rsidRPr="00631CBD">
        <w:rPr>
          <w:rFonts w:ascii="Arial" w:hAnsi="Arial" w:cs="Arial"/>
          <w:szCs w:val="22"/>
          <w:lang w:eastAsia="en-AU"/>
        </w:rPr>
        <w:t xml:space="preserve"> at 342:</w:t>
      </w:r>
    </w:p>
    <w:p w14:paraId="41D20399" w14:textId="77777777" w:rsidR="00D1580E" w:rsidRPr="00631CBD" w:rsidRDefault="00D1580E" w:rsidP="00631CBD">
      <w:pPr>
        <w:pStyle w:val="Quote3"/>
        <w:spacing w:after="360" w:line="480" w:lineRule="auto"/>
        <w:ind w:firstLine="0"/>
        <w:rPr>
          <w:rFonts w:ascii="Arial" w:hAnsi="Arial" w:cs="Arial"/>
          <w:sz w:val="22"/>
          <w:szCs w:val="22"/>
          <w:lang w:eastAsia="en-AU"/>
        </w:rPr>
      </w:pPr>
      <w:r w:rsidRPr="00631CBD">
        <w:rPr>
          <w:rFonts w:ascii="Arial" w:hAnsi="Arial" w:cs="Arial"/>
          <w:sz w:val="22"/>
          <w:szCs w:val="22"/>
          <w:lang w:eastAsia="en-AU"/>
        </w:rPr>
        <w:t xml:space="preserve">‘Of course the fact that the directors cannot exercise any powers on behalf of the company does not, of itself, mean that all such powers have vested in the liquidator. The extent of the liquidator's powers must depend upon the powers conferred by the </w:t>
      </w:r>
      <w:r w:rsidRPr="00631CBD">
        <w:rPr>
          <w:rFonts w:ascii="Arial" w:hAnsi="Arial" w:cs="Arial"/>
          <w:i/>
          <w:sz w:val="22"/>
          <w:szCs w:val="22"/>
          <w:lang w:eastAsia="en-AU"/>
        </w:rPr>
        <w:t>Corporations Law</w:t>
      </w:r>
      <w:r w:rsidRPr="00631CBD">
        <w:rPr>
          <w:rFonts w:ascii="Arial" w:hAnsi="Arial" w:cs="Arial"/>
          <w:sz w:val="22"/>
          <w:szCs w:val="22"/>
          <w:lang w:eastAsia="en-AU"/>
        </w:rPr>
        <w:t>.’”</w:t>
      </w:r>
    </w:p>
    <w:p w14:paraId="30E0E936" w14:textId="77777777" w:rsidR="00D1580E" w:rsidRPr="00631CBD" w:rsidRDefault="00D1580E" w:rsidP="00631CBD">
      <w:pPr>
        <w:spacing w:after="360" w:line="480" w:lineRule="auto"/>
        <w:rPr>
          <w:rFonts w:ascii="Arial" w:hAnsi="Arial" w:cs="Arial"/>
          <w:sz w:val="22"/>
          <w:szCs w:val="22"/>
        </w:rPr>
      </w:pPr>
      <w:r w:rsidRPr="00631CBD">
        <w:rPr>
          <w:rFonts w:ascii="Arial" w:hAnsi="Arial" w:cs="Arial"/>
          <w:sz w:val="22"/>
          <w:szCs w:val="22"/>
        </w:rPr>
        <w:t>Consequently, where the trust deed</w:t>
      </w:r>
      <w:r w:rsidR="00FF2BA0" w:rsidRPr="00631CBD">
        <w:rPr>
          <w:rFonts w:ascii="Arial" w:hAnsi="Arial" w:cs="Arial"/>
          <w:sz w:val="22"/>
          <w:szCs w:val="22"/>
        </w:rPr>
        <w:t xml:space="preserve"> or instrument</w:t>
      </w:r>
      <w:r w:rsidRPr="00631CBD">
        <w:rPr>
          <w:rFonts w:ascii="Arial" w:hAnsi="Arial" w:cs="Arial"/>
          <w:sz w:val="22"/>
          <w:szCs w:val="22"/>
        </w:rPr>
        <w:t xml:space="preserve">, properly construed, is silent on the effect of insolvency in these circumstances, the discretionary power to distribute to beneficiaries within the class of </w:t>
      </w:r>
      <w:r w:rsidR="00FF2BA0" w:rsidRPr="00631CBD">
        <w:rPr>
          <w:rFonts w:ascii="Arial" w:hAnsi="Arial" w:cs="Arial"/>
          <w:sz w:val="22"/>
          <w:szCs w:val="22"/>
        </w:rPr>
        <w:t>potential</w:t>
      </w:r>
      <w:r w:rsidRPr="00631CBD">
        <w:rPr>
          <w:rFonts w:ascii="Arial" w:hAnsi="Arial" w:cs="Arial"/>
          <w:sz w:val="22"/>
          <w:szCs w:val="22"/>
        </w:rPr>
        <w:t xml:space="preserve"> beneficiaries, including any charities, can only be exercised by the court.</w:t>
      </w:r>
    </w:p>
    <w:p w14:paraId="3F5F9449" w14:textId="77777777" w:rsidR="00D1580E" w:rsidRPr="00631CBD" w:rsidRDefault="00FF2BA0" w:rsidP="00631CBD">
      <w:pPr>
        <w:pStyle w:val="Heading2"/>
        <w:spacing w:line="480" w:lineRule="auto"/>
        <w:rPr>
          <w:rFonts w:ascii="Arial" w:hAnsi="Arial" w:cs="Arial"/>
          <w:sz w:val="22"/>
          <w:szCs w:val="22"/>
        </w:rPr>
      </w:pPr>
      <w:bookmarkStart w:id="11" w:name="_Toc285803286"/>
      <w:r w:rsidRPr="00631CBD">
        <w:rPr>
          <w:rFonts w:ascii="Arial" w:hAnsi="Arial" w:cs="Arial"/>
          <w:sz w:val="22"/>
          <w:szCs w:val="22"/>
        </w:rPr>
        <w:lastRenderedPageBreak/>
        <w:t>V</w:t>
      </w:r>
      <w:r w:rsidR="00D1580E" w:rsidRPr="00631CBD">
        <w:rPr>
          <w:rFonts w:ascii="Arial" w:hAnsi="Arial" w:cs="Arial"/>
          <w:sz w:val="22"/>
          <w:szCs w:val="22"/>
        </w:rPr>
        <w:t>ariation of trust deeds</w:t>
      </w:r>
      <w:r w:rsidR="00F76B96" w:rsidRPr="00631CBD">
        <w:rPr>
          <w:rFonts w:ascii="Arial" w:hAnsi="Arial" w:cs="Arial"/>
          <w:sz w:val="22"/>
          <w:szCs w:val="22"/>
        </w:rPr>
        <w:t xml:space="preserve"> or instruments</w:t>
      </w:r>
      <w:bookmarkEnd w:id="11"/>
      <w:r w:rsidR="00D1580E" w:rsidRPr="00631CBD">
        <w:rPr>
          <w:rFonts w:ascii="Arial" w:hAnsi="Arial" w:cs="Arial"/>
          <w:sz w:val="22"/>
          <w:szCs w:val="22"/>
        </w:rPr>
        <w:t xml:space="preserve"> </w:t>
      </w:r>
    </w:p>
    <w:p w14:paraId="50C87BED" w14:textId="77777777" w:rsidR="00F22E73" w:rsidRPr="00631CBD" w:rsidRDefault="00F22E73" w:rsidP="00631CBD">
      <w:pPr>
        <w:autoSpaceDE w:val="0"/>
        <w:autoSpaceDN w:val="0"/>
        <w:adjustRightInd w:val="0"/>
        <w:spacing w:after="360" w:line="480" w:lineRule="auto"/>
        <w:rPr>
          <w:rFonts w:ascii="Arial" w:hAnsi="Arial" w:cs="Arial"/>
          <w:sz w:val="22"/>
          <w:szCs w:val="22"/>
        </w:rPr>
      </w:pPr>
      <w:r w:rsidRPr="00631CBD">
        <w:rPr>
          <w:rFonts w:ascii="Arial" w:hAnsi="Arial" w:cs="Arial"/>
          <w:sz w:val="22"/>
          <w:szCs w:val="22"/>
        </w:rPr>
        <w:t>A trust deed</w:t>
      </w:r>
      <w:r w:rsidR="00F76B96" w:rsidRPr="00631CBD">
        <w:rPr>
          <w:rFonts w:ascii="Arial" w:hAnsi="Arial" w:cs="Arial"/>
          <w:sz w:val="22"/>
          <w:szCs w:val="22"/>
        </w:rPr>
        <w:t xml:space="preserve"> or instrument</w:t>
      </w:r>
      <w:r w:rsidRPr="00631CBD">
        <w:rPr>
          <w:rFonts w:ascii="Arial" w:hAnsi="Arial" w:cs="Arial"/>
          <w:sz w:val="22"/>
          <w:szCs w:val="22"/>
        </w:rPr>
        <w:t xml:space="preserve"> may itself make a provision for a variation of</w:t>
      </w:r>
      <w:r w:rsidR="00F76B96" w:rsidRPr="00631CBD">
        <w:rPr>
          <w:rFonts w:ascii="Arial" w:hAnsi="Arial" w:cs="Arial"/>
          <w:sz w:val="22"/>
          <w:szCs w:val="22"/>
        </w:rPr>
        <w:t xml:space="preserve"> the trust;</w:t>
      </w:r>
      <w:r w:rsidRPr="00631CBD">
        <w:rPr>
          <w:rFonts w:ascii="Arial" w:hAnsi="Arial" w:cs="Arial"/>
          <w:sz w:val="22"/>
          <w:szCs w:val="22"/>
        </w:rPr>
        <w:t xml:space="preserve"> but in some circumstances the courts have a power of variation.  The power of courts in this respect differs between the States and Territories;  although the relevant legislation is, in many respects, similar.</w:t>
      </w:r>
      <w:r w:rsidRPr="00631CBD">
        <w:rPr>
          <w:rStyle w:val="FootnoteReference"/>
          <w:rFonts w:ascii="Arial" w:hAnsi="Arial" w:cs="Arial"/>
          <w:sz w:val="22"/>
          <w:szCs w:val="22"/>
        </w:rPr>
        <w:footnoteReference w:id="33"/>
      </w:r>
      <w:r w:rsidRPr="00631CBD">
        <w:rPr>
          <w:rFonts w:ascii="Arial" w:hAnsi="Arial" w:cs="Arial"/>
          <w:sz w:val="22"/>
          <w:szCs w:val="22"/>
        </w:rPr>
        <w:t xml:space="preserve">  It must be remembered that whilst courts may vary provisions for the administration or management of a trust, the power to vary beneficial interests is generally quite constrained and exercised sparingly.  Indeed, as the authorities highlight, the original statutory provisions for variation were too limited, requiring further amendments to the legislation to increase the court powers of variation with respect to beneficial interests.</w:t>
      </w:r>
      <w:r w:rsidRPr="00631CBD">
        <w:rPr>
          <w:rStyle w:val="FootnoteReference"/>
          <w:rFonts w:ascii="Arial" w:hAnsi="Arial" w:cs="Arial"/>
          <w:sz w:val="22"/>
          <w:szCs w:val="22"/>
        </w:rPr>
        <w:footnoteReference w:id="34"/>
      </w:r>
      <w:r w:rsidR="00F76B96" w:rsidRPr="00631CBD">
        <w:rPr>
          <w:rFonts w:ascii="Arial" w:hAnsi="Arial" w:cs="Arial"/>
          <w:sz w:val="22"/>
          <w:szCs w:val="22"/>
        </w:rPr>
        <w:t xml:space="preserve"> </w:t>
      </w:r>
      <w:r w:rsidRPr="00631CBD">
        <w:rPr>
          <w:rFonts w:ascii="Arial" w:hAnsi="Arial" w:cs="Arial"/>
          <w:sz w:val="22"/>
          <w:szCs w:val="22"/>
        </w:rPr>
        <w:t xml:space="preserve">These provisions authorise the court to approve, on behalf of </w:t>
      </w:r>
      <w:r w:rsidRPr="00631CBD">
        <w:rPr>
          <w:rFonts w:ascii="Arial" w:hAnsi="Arial" w:cs="Arial"/>
          <w:sz w:val="22"/>
          <w:szCs w:val="22"/>
        </w:rPr>
        <w:lastRenderedPageBreak/>
        <w:t>the beneficiaries, “any arrangement (by whomsoever proposed and whether or not there is any other person beneficially interested who is capable of assenting thereto) varying or revoking all or any of the trusts, or enlarging the powers of the trustees of managing or administering any of the property subject to the trust”.</w:t>
      </w:r>
      <w:r w:rsidRPr="00631CBD">
        <w:rPr>
          <w:rStyle w:val="FootnoteReference"/>
          <w:rFonts w:ascii="Arial" w:hAnsi="Arial" w:cs="Arial"/>
          <w:sz w:val="22"/>
          <w:szCs w:val="22"/>
        </w:rPr>
        <w:footnoteReference w:id="35"/>
      </w:r>
    </w:p>
    <w:p w14:paraId="364710E9" w14:textId="77777777" w:rsidR="008151EB" w:rsidRPr="00631CBD" w:rsidRDefault="00FF2BA0" w:rsidP="00631CBD">
      <w:pPr>
        <w:spacing w:line="480" w:lineRule="auto"/>
        <w:rPr>
          <w:rFonts w:ascii="Arial" w:hAnsi="Arial" w:cs="Arial"/>
          <w:sz w:val="22"/>
          <w:szCs w:val="22"/>
        </w:rPr>
      </w:pPr>
      <w:r w:rsidRPr="00631CBD">
        <w:rPr>
          <w:rFonts w:ascii="Arial" w:hAnsi="Arial" w:cs="Arial"/>
          <w:sz w:val="22"/>
          <w:szCs w:val="22"/>
        </w:rPr>
        <w:t>Section</w:t>
      </w:r>
      <w:r w:rsidR="008151EB" w:rsidRPr="00631CBD">
        <w:rPr>
          <w:rFonts w:ascii="Arial" w:hAnsi="Arial" w:cs="Arial"/>
          <w:sz w:val="22"/>
          <w:szCs w:val="22"/>
        </w:rPr>
        <w:t xml:space="preserve"> 63A(1)(b) of the </w:t>
      </w:r>
      <w:r w:rsidRPr="00631CBD">
        <w:rPr>
          <w:rFonts w:ascii="Arial" w:hAnsi="Arial" w:cs="Arial"/>
          <w:sz w:val="22"/>
          <w:szCs w:val="22"/>
        </w:rPr>
        <w:t xml:space="preserve">Victorian </w:t>
      </w:r>
      <w:r w:rsidR="008151EB" w:rsidRPr="00631CBD">
        <w:rPr>
          <w:rFonts w:ascii="Arial" w:hAnsi="Arial" w:cs="Arial"/>
          <w:i/>
          <w:sz w:val="22"/>
          <w:szCs w:val="22"/>
        </w:rPr>
        <w:t>Trustee Act</w:t>
      </w:r>
      <w:r w:rsidR="008151EB" w:rsidRPr="00631CBD">
        <w:rPr>
          <w:rFonts w:ascii="Arial" w:hAnsi="Arial" w:cs="Arial"/>
          <w:sz w:val="22"/>
          <w:szCs w:val="22"/>
        </w:rPr>
        <w:t xml:space="preserve"> </w:t>
      </w:r>
      <w:r w:rsidRPr="00631CBD">
        <w:rPr>
          <w:rFonts w:ascii="Arial" w:hAnsi="Arial" w:cs="Arial"/>
          <w:sz w:val="22"/>
          <w:szCs w:val="22"/>
        </w:rPr>
        <w:t>confers a power to vary trusts,</w:t>
      </w:r>
      <w:r w:rsidR="008151EB" w:rsidRPr="00631CBD">
        <w:rPr>
          <w:rFonts w:ascii="Arial" w:hAnsi="Arial" w:cs="Arial"/>
          <w:sz w:val="22"/>
          <w:szCs w:val="22"/>
        </w:rPr>
        <w:t xml:space="preserve"> in the following terms:</w:t>
      </w:r>
    </w:p>
    <w:p w14:paraId="5F607E01" w14:textId="77777777" w:rsidR="008151EB" w:rsidRPr="00631CBD" w:rsidRDefault="008151EB" w:rsidP="00631CBD">
      <w:pPr>
        <w:pStyle w:val="Quote1"/>
        <w:spacing w:line="480" w:lineRule="auto"/>
        <w:ind w:left="1440" w:firstLine="0"/>
        <w:rPr>
          <w:rFonts w:ascii="Arial" w:hAnsi="Arial" w:cs="Arial"/>
          <w:i/>
          <w:szCs w:val="22"/>
        </w:rPr>
      </w:pPr>
      <w:r w:rsidRPr="00631CBD">
        <w:rPr>
          <w:rFonts w:ascii="Arial" w:hAnsi="Arial" w:cs="Arial"/>
          <w:szCs w:val="22"/>
        </w:rPr>
        <w:t>“</w:t>
      </w:r>
      <w:r w:rsidRPr="00631CBD">
        <w:rPr>
          <w:rFonts w:ascii="Arial" w:hAnsi="Arial" w:cs="Arial"/>
          <w:i/>
          <w:szCs w:val="22"/>
        </w:rPr>
        <w:t>63A. Power of Court to vary trusts</w:t>
      </w:r>
    </w:p>
    <w:p w14:paraId="13CED185" w14:textId="77777777" w:rsidR="008151EB" w:rsidRPr="00631CBD" w:rsidRDefault="0042373E" w:rsidP="00631CBD">
      <w:pPr>
        <w:pStyle w:val="Quote1"/>
        <w:spacing w:line="480" w:lineRule="auto"/>
        <w:ind w:left="1620" w:right="746" w:hanging="180"/>
        <w:rPr>
          <w:rFonts w:ascii="Arial" w:hAnsi="Arial" w:cs="Arial"/>
          <w:szCs w:val="22"/>
        </w:rPr>
      </w:pPr>
      <w:r w:rsidRPr="00631CBD">
        <w:rPr>
          <w:rFonts w:ascii="Arial" w:hAnsi="Arial" w:cs="Arial"/>
          <w:szCs w:val="22"/>
        </w:rPr>
        <w:t xml:space="preserve"> </w:t>
      </w:r>
      <w:r w:rsidR="008151EB" w:rsidRPr="00631CBD">
        <w:rPr>
          <w:rFonts w:ascii="Arial" w:hAnsi="Arial" w:cs="Arial"/>
          <w:szCs w:val="22"/>
        </w:rPr>
        <w:t xml:space="preserve">  (1) Where property, whether real or personal, is held on trusts arising, whether before or after the commencement of this Act, under any will settlement or other disposition, the Court may if it thinks fit by order approve on behalf of-</w:t>
      </w:r>
    </w:p>
    <w:p w14:paraId="0048970A" w14:textId="77777777" w:rsidR="0042373E" w:rsidRPr="00631CBD" w:rsidRDefault="0042373E" w:rsidP="00631CBD">
      <w:pPr>
        <w:pStyle w:val="Quote1"/>
        <w:spacing w:line="480" w:lineRule="auto"/>
        <w:ind w:left="2160" w:firstLine="0"/>
        <w:rPr>
          <w:rFonts w:ascii="Arial" w:hAnsi="Arial" w:cs="Arial"/>
          <w:szCs w:val="22"/>
        </w:rPr>
      </w:pPr>
      <w:r w:rsidRPr="00631CBD">
        <w:rPr>
          <w:rFonts w:ascii="Arial" w:hAnsi="Arial" w:cs="Arial"/>
          <w:szCs w:val="22"/>
        </w:rPr>
        <w:t>…</w:t>
      </w:r>
    </w:p>
    <w:p w14:paraId="7BD70530" w14:textId="77777777" w:rsidR="008151EB" w:rsidRPr="00631CBD" w:rsidRDefault="008151EB" w:rsidP="00631CBD">
      <w:pPr>
        <w:pStyle w:val="Quote1"/>
        <w:spacing w:line="480" w:lineRule="auto"/>
        <w:ind w:left="2160" w:firstLine="0"/>
        <w:rPr>
          <w:rFonts w:ascii="Arial" w:hAnsi="Arial" w:cs="Arial"/>
          <w:szCs w:val="22"/>
        </w:rPr>
      </w:pPr>
      <w:r w:rsidRPr="00631CBD">
        <w:rPr>
          <w:rFonts w:ascii="Arial" w:hAnsi="Arial" w:cs="Arial"/>
          <w:szCs w:val="22"/>
        </w:rPr>
        <w:t xml:space="preserve">(b)  any person (whether ascertained or not) who may become entitled, directly or indirectly, to an interest under the trusts as being at a future date or on the happening of a future event a person of any specified description or a member of any specified class of persons, so however that this paragraph shall not include any person who would be of that description, or a member of that class (as the case may be) if the said date had fallen or the said event had happened at the date of the application to the Court;   </w:t>
      </w:r>
    </w:p>
    <w:p w14:paraId="02EF093D" w14:textId="77777777" w:rsidR="008151EB" w:rsidRPr="00631CBD" w:rsidRDefault="008151EB" w:rsidP="00631CBD">
      <w:pPr>
        <w:pStyle w:val="Quote1"/>
        <w:spacing w:line="480" w:lineRule="auto"/>
        <w:ind w:left="2160" w:firstLine="0"/>
        <w:rPr>
          <w:rFonts w:ascii="Arial" w:hAnsi="Arial" w:cs="Arial"/>
          <w:szCs w:val="22"/>
        </w:rPr>
      </w:pPr>
      <w:r w:rsidRPr="00631CBD">
        <w:rPr>
          <w:rFonts w:ascii="Arial" w:hAnsi="Arial" w:cs="Arial"/>
          <w:szCs w:val="22"/>
        </w:rPr>
        <w:t>…</w:t>
      </w:r>
    </w:p>
    <w:p w14:paraId="27422255" w14:textId="77777777" w:rsidR="008151EB" w:rsidRPr="00631CBD" w:rsidRDefault="008151EB" w:rsidP="00631CBD">
      <w:pPr>
        <w:pStyle w:val="Quote1"/>
        <w:spacing w:line="480" w:lineRule="auto"/>
        <w:ind w:left="1620" w:right="746" w:firstLine="0"/>
        <w:rPr>
          <w:rFonts w:ascii="Arial" w:hAnsi="Arial" w:cs="Arial"/>
          <w:szCs w:val="22"/>
        </w:rPr>
      </w:pPr>
      <w:r w:rsidRPr="00631CBD">
        <w:rPr>
          <w:rFonts w:ascii="Arial" w:hAnsi="Arial" w:cs="Arial"/>
          <w:szCs w:val="22"/>
        </w:rPr>
        <w:t>any arrangement (by whomsoever proposed and whether or not there is any other person beneficially interested who is capable of assenting thereto) varying or revoking all or any of the trusts, or enlarging the powers of the trustees or managing or administering any of the property subject to the trusts:</w:t>
      </w:r>
      <w:r w:rsidR="0042373E" w:rsidRPr="00631CBD">
        <w:rPr>
          <w:rFonts w:ascii="Arial" w:hAnsi="Arial" w:cs="Arial"/>
          <w:szCs w:val="22"/>
        </w:rPr>
        <w:t xml:space="preserve">  </w:t>
      </w:r>
      <w:r w:rsidRPr="00631CBD">
        <w:rPr>
          <w:rFonts w:ascii="Arial" w:hAnsi="Arial" w:cs="Arial"/>
          <w:szCs w:val="22"/>
        </w:rPr>
        <w:t xml:space="preserve">Provided that except by virtue of paragraph (d) of this subsection the Court </w:t>
      </w:r>
      <w:r w:rsidRPr="00631CBD">
        <w:rPr>
          <w:rFonts w:ascii="Arial" w:hAnsi="Arial" w:cs="Arial"/>
          <w:szCs w:val="22"/>
        </w:rPr>
        <w:lastRenderedPageBreak/>
        <w:t>shall not approve an arrangement on behalf of any person unless the carrying out thereof would be for the benefit of that person.”</w:t>
      </w:r>
    </w:p>
    <w:p w14:paraId="2F2BE110" w14:textId="77777777" w:rsidR="008151EB" w:rsidRPr="00631CBD" w:rsidRDefault="0042373E" w:rsidP="00631CBD">
      <w:pPr>
        <w:spacing w:after="360" w:line="480" w:lineRule="auto"/>
        <w:rPr>
          <w:rFonts w:ascii="Arial" w:hAnsi="Arial" w:cs="Arial"/>
          <w:sz w:val="22"/>
          <w:szCs w:val="22"/>
        </w:rPr>
      </w:pPr>
      <w:r w:rsidRPr="00631CBD">
        <w:rPr>
          <w:rFonts w:ascii="Arial" w:hAnsi="Arial" w:cs="Arial"/>
          <w:sz w:val="22"/>
          <w:szCs w:val="22"/>
        </w:rPr>
        <w:t xml:space="preserve">In </w:t>
      </w:r>
      <w:r w:rsidRPr="00631CBD">
        <w:rPr>
          <w:rFonts w:ascii="Arial" w:hAnsi="Arial" w:cs="Arial"/>
          <w:i/>
          <w:sz w:val="22"/>
          <w:szCs w:val="22"/>
        </w:rPr>
        <w:t>Babcock</w:t>
      </w:r>
      <w:r w:rsidRPr="00631CBD">
        <w:rPr>
          <w:rFonts w:ascii="Arial" w:hAnsi="Arial" w:cs="Arial"/>
          <w:sz w:val="22"/>
          <w:szCs w:val="22"/>
        </w:rPr>
        <w:t>, the</w:t>
      </w:r>
      <w:r w:rsidR="002F4A76" w:rsidRPr="00631CBD">
        <w:rPr>
          <w:rFonts w:ascii="Arial" w:hAnsi="Arial" w:cs="Arial"/>
          <w:sz w:val="22"/>
          <w:szCs w:val="22"/>
        </w:rPr>
        <w:t>se</w:t>
      </w:r>
      <w:r w:rsidRPr="00631CBD">
        <w:rPr>
          <w:rFonts w:ascii="Arial" w:hAnsi="Arial" w:cs="Arial"/>
          <w:sz w:val="22"/>
          <w:szCs w:val="22"/>
        </w:rPr>
        <w:t xml:space="preserve"> provisions were relied upon</w:t>
      </w:r>
      <w:r w:rsidR="008151EB" w:rsidRPr="00631CBD">
        <w:rPr>
          <w:rFonts w:ascii="Arial" w:hAnsi="Arial" w:cs="Arial"/>
          <w:sz w:val="22"/>
          <w:szCs w:val="22"/>
        </w:rPr>
        <w:t xml:space="preserve"> on behalf of all persons who might be determined to be </w:t>
      </w:r>
      <w:r w:rsidRPr="00631CBD">
        <w:rPr>
          <w:rFonts w:ascii="Arial" w:hAnsi="Arial" w:cs="Arial"/>
          <w:sz w:val="22"/>
          <w:szCs w:val="22"/>
        </w:rPr>
        <w:t>e</w:t>
      </w:r>
      <w:r w:rsidR="008151EB" w:rsidRPr="00631CBD">
        <w:rPr>
          <w:rFonts w:ascii="Arial" w:hAnsi="Arial" w:cs="Arial"/>
          <w:sz w:val="22"/>
          <w:szCs w:val="22"/>
        </w:rPr>
        <w:t xml:space="preserve">mployees for the purposes of the </w:t>
      </w:r>
      <w:r w:rsidRPr="00631CBD">
        <w:rPr>
          <w:rFonts w:ascii="Arial" w:hAnsi="Arial" w:cs="Arial"/>
          <w:sz w:val="22"/>
          <w:szCs w:val="22"/>
        </w:rPr>
        <w:t>t</w:t>
      </w:r>
      <w:r w:rsidR="008151EB" w:rsidRPr="00631CBD">
        <w:rPr>
          <w:rFonts w:ascii="Arial" w:hAnsi="Arial" w:cs="Arial"/>
          <w:sz w:val="22"/>
          <w:szCs w:val="22"/>
        </w:rPr>
        <w:t>rust</w:t>
      </w:r>
      <w:r w:rsidRPr="00631CBD">
        <w:rPr>
          <w:rFonts w:ascii="Arial" w:hAnsi="Arial" w:cs="Arial"/>
          <w:sz w:val="22"/>
          <w:szCs w:val="22"/>
        </w:rPr>
        <w:t xml:space="preserve"> d</w:t>
      </w:r>
      <w:r w:rsidR="008151EB" w:rsidRPr="00631CBD">
        <w:rPr>
          <w:rFonts w:ascii="Arial" w:hAnsi="Arial" w:cs="Arial"/>
          <w:sz w:val="22"/>
          <w:szCs w:val="22"/>
        </w:rPr>
        <w:t>eed</w:t>
      </w:r>
      <w:r w:rsidRPr="00631CBD">
        <w:rPr>
          <w:rFonts w:ascii="Arial" w:hAnsi="Arial" w:cs="Arial"/>
          <w:sz w:val="22"/>
          <w:szCs w:val="22"/>
        </w:rPr>
        <w:t xml:space="preserve"> for the purpose of an application to vary the termination date of the trust – with the effect of producing an immediate distribution of the trust property</w:t>
      </w:r>
      <w:r w:rsidR="008151EB" w:rsidRPr="00631CBD">
        <w:rPr>
          <w:rFonts w:ascii="Arial" w:hAnsi="Arial" w:cs="Arial"/>
          <w:sz w:val="22"/>
          <w:szCs w:val="22"/>
        </w:rPr>
        <w:t>.  I</w:t>
      </w:r>
      <w:r w:rsidRPr="00631CBD">
        <w:rPr>
          <w:rFonts w:ascii="Arial" w:hAnsi="Arial" w:cs="Arial"/>
          <w:sz w:val="22"/>
          <w:szCs w:val="22"/>
        </w:rPr>
        <w:t>n support of this application, it was</w:t>
      </w:r>
      <w:r w:rsidR="008151EB" w:rsidRPr="00631CBD">
        <w:rPr>
          <w:rFonts w:ascii="Arial" w:hAnsi="Arial" w:cs="Arial"/>
          <w:sz w:val="22"/>
          <w:szCs w:val="22"/>
        </w:rPr>
        <w:t xml:space="preserve"> submitted that such persons may become ent</w:t>
      </w:r>
      <w:r w:rsidRPr="00631CBD">
        <w:rPr>
          <w:rFonts w:ascii="Arial" w:hAnsi="Arial" w:cs="Arial"/>
          <w:sz w:val="22"/>
          <w:szCs w:val="22"/>
        </w:rPr>
        <w:t>itled to an interest under the t</w:t>
      </w:r>
      <w:r w:rsidR="008151EB" w:rsidRPr="00631CBD">
        <w:rPr>
          <w:rFonts w:ascii="Arial" w:hAnsi="Arial" w:cs="Arial"/>
          <w:sz w:val="22"/>
          <w:szCs w:val="22"/>
        </w:rPr>
        <w:t xml:space="preserve">rust on the termination of the </w:t>
      </w:r>
      <w:r w:rsidRPr="00631CBD">
        <w:rPr>
          <w:rFonts w:ascii="Arial" w:hAnsi="Arial" w:cs="Arial"/>
          <w:sz w:val="22"/>
          <w:szCs w:val="22"/>
        </w:rPr>
        <w:t>t</w:t>
      </w:r>
      <w:r w:rsidR="008151EB" w:rsidRPr="00631CBD">
        <w:rPr>
          <w:rFonts w:ascii="Arial" w:hAnsi="Arial" w:cs="Arial"/>
          <w:sz w:val="22"/>
          <w:szCs w:val="22"/>
        </w:rPr>
        <w:t>rust.  It was further submitted that the amendment sought was for the benefit of those persons because it would bring forwa</w:t>
      </w:r>
      <w:r w:rsidR="00B746E4" w:rsidRPr="00631CBD">
        <w:rPr>
          <w:rFonts w:ascii="Arial" w:hAnsi="Arial" w:cs="Arial"/>
          <w:sz w:val="22"/>
          <w:szCs w:val="22"/>
        </w:rPr>
        <w:t>rd the termination date of the T</w:t>
      </w:r>
      <w:r w:rsidR="008151EB" w:rsidRPr="00631CBD">
        <w:rPr>
          <w:rFonts w:ascii="Arial" w:hAnsi="Arial" w:cs="Arial"/>
          <w:sz w:val="22"/>
          <w:szCs w:val="22"/>
        </w:rPr>
        <w:t xml:space="preserve">rust and thus the date on which distributions may be made to </w:t>
      </w:r>
      <w:r w:rsidRPr="00631CBD">
        <w:rPr>
          <w:rFonts w:ascii="Arial" w:hAnsi="Arial" w:cs="Arial"/>
          <w:sz w:val="22"/>
          <w:szCs w:val="22"/>
        </w:rPr>
        <w:t xml:space="preserve">such persons, as </w:t>
      </w:r>
      <w:r w:rsidR="008151EB" w:rsidRPr="00631CBD">
        <w:rPr>
          <w:rFonts w:ascii="Arial" w:hAnsi="Arial" w:cs="Arial"/>
          <w:sz w:val="22"/>
          <w:szCs w:val="22"/>
        </w:rPr>
        <w:t xml:space="preserve">the </w:t>
      </w:r>
      <w:r w:rsidRPr="00631CBD">
        <w:rPr>
          <w:rFonts w:ascii="Arial" w:hAnsi="Arial" w:cs="Arial"/>
          <w:sz w:val="22"/>
          <w:szCs w:val="22"/>
        </w:rPr>
        <w:t>“</w:t>
      </w:r>
      <w:r w:rsidR="008151EB" w:rsidRPr="00631CBD">
        <w:rPr>
          <w:rFonts w:ascii="Arial" w:hAnsi="Arial" w:cs="Arial"/>
          <w:sz w:val="22"/>
          <w:szCs w:val="22"/>
        </w:rPr>
        <w:t>Residual Beneficiaries</w:t>
      </w:r>
      <w:r w:rsidRPr="00631CBD">
        <w:rPr>
          <w:rFonts w:ascii="Arial" w:hAnsi="Arial" w:cs="Arial"/>
          <w:sz w:val="22"/>
          <w:szCs w:val="22"/>
        </w:rPr>
        <w:t>”</w:t>
      </w:r>
      <w:r w:rsidR="008151EB" w:rsidRPr="00631CBD">
        <w:rPr>
          <w:rFonts w:ascii="Arial" w:hAnsi="Arial" w:cs="Arial"/>
          <w:sz w:val="22"/>
          <w:szCs w:val="22"/>
        </w:rPr>
        <w:t>.</w:t>
      </w:r>
      <w:r w:rsidRPr="00631CBD">
        <w:rPr>
          <w:rStyle w:val="FootnoteReference"/>
          <w:rFonts w:ascii="Arial" w:hAnsi="Arial" w:cs="Arial"/>
          <w:sz w:val="22"/>
          <w:szCs w:val="22"/>
        </w:rPr>
        <w:footnoteReference w:id="36"/>
      </w:r>
    </w:p>
    <w:p w14:paraId="4165E68C" w14:textId="77777777" w:rsidR="008151EB" w:rsidRPr="00631CBD" w:rsidRDefault="008151EB" w:rsidP="00631CBD">
      <w:pPr>
        <w:spacing w:line="480" w:lineRule="auto"/>
        <w:rPr>
          <w:rFonts w:ascii="Arial" w:hAnsi="Arial" w:cs="Arial"/>
          <w:sz w:val="22"/>
          <w:szCs w:val="22"/>
        </w:rPr>
      </w:pPr>
      <w:r w:rsidRPr="00631CBD">
        <w:rPr>
          <w:rFonts w:ascii="Arial" w:hAnsi="Arial" w:cs="Arial"/>
          <w:sz w:val="22"/>
          <w:szCs w:val="22"/>
        </w:rPr>
        <w:t xml:space="preserve">The authorities indicate that the power conferred on the </w:t>
      </w:r>
      <w:r w:rsidR="00497931" w:rsidRPr="00631CBD">
        <w:rPr>
          <w:rFonts w:ascii="Arial" w:hAnsi="Arial" w:cs="Arial"/>
          <w:sz w:val="22"/>
          <w:szCs w:val="22"/>
        </w:rPr>
        <w:t>c</w:t>
      </w:r>
      <w:r w:rsidRPr="00631CBD">
        <w:rPr>
          <w:rFonts w:ascii="Arial" w:hAnsi="Arial" w:cs="Arial"/>
          <w:sz w:val="22"/>
          <w:szCs w:val="22"/>
        </w:rPr>
        <w:t xml:space="preserve">ourt by s 63A of the </w:t>
      </w:r>
      <w:r w:rsidR="002F4A76" w:rsidRPr="00631CBD">
        <w:rPr>
          <w:rFonts w:ascii="Arial" w:hAnsi="Arial" w:cs="Arial"/>
          <w:sz w:val="22"/>
          <w:szCs w:val="22"/>
        </w:rPr>
        <w:t xml:space="preserve">Victorian </w:t>
      </w:r>
      <w:r w:rsidRPr="00631CBD">
        <w:rPr>
          <w:rFonts w:ascii="Arial" w:hAnsi="Arial" w:cs="Arial"/>
          <w:i/>
          <w:sz w:val="22"/>
          <w:szCs w:val="22"/>
        </w:rPr>
        <w:t>Trustee Act</w:t>
      </w:r>
      <w:r w:rsidR="002F4A76" w:rsidRPr="00631CBD">
        <w:rPr>
          <w:rFonts w:ascii="Arial" w:hAnsi="Arial" w:cs="Arial"/>
          <w:sz w:val="22"/>
          <w:szCs w:val="22"/>
        </w:rPr>
        <w:t xml:space="preserve"> and its equivalents is </w:t>
      </w:r>
      <w:r w:rsidRPr="00631CBD">
        <w:rPr>
          <w:rFonts w:ascii="Arial" w:hAnsi="Arial" w:cs="Arial"/>
          <w:sz w:val="22"/>
          <w:szCs w:val="22"/>
        </w:rPr>
        <w:t>discretionary.</w:t>
      </w:r>
      <w:r w:rsidRPr="00631CBD">
        <w:rPr>
          <w:rStyle w:val="FootnoteReference"/>
          <w:rFonts w:ascii="Arial" w:hAnsi="Arial" w:cs="Arial"/>
          <w:sz w:val="22"/>
          <w:szCs w:val="22"/>
        </w:rPr>
        <w:footnoteReference w:id="37"/>
      </w:r>
      <w:r w:rsidRPr="00631CBD">
        <w:rPr>
          <w:rFonts w:ascii="Arial" w:hAnsi="Arial" w:cs="Arial"/>
          <w:sz w:val="22"/>
          <w:szCs w:val="22"/>
        </w:rPr>
        <w:t xml:space="preserve">  In considering an application under s 63A of the </w:t>
      </w:r>
      <w:r w:rsidRPr="00631CBD">
        <w:rPr>
          <w:rFonts w:ascii="Arial" w:hAnsi="Arial" w:cs="Arial"/>
          <w:i/>
          <w:sz w:val="22"/>
          <w:szCs w:val="22"/>
        </w:rPr>
        <w:t>Trustee Act</w:t>
      </w:r>
      <w:r w:rsidRPr="00631CBD">
        <w:rPr>
          <w:rFonts w:ascii="Arial" w:hAnsi="Arial" w:cs="Arial"/>
          <w:sz w:val="22"/>
          <w:szCs w:val="22"/>
        </w:rPr>
        <w:t xml:space="preserve">, it is important to keep in mind the nature of the discretionary power conferred upon the </w:t>
      </w:r>
      <w:r w:rsidR="00497931" w:rsidRPr="00631CBD">
        <w:rPr>
          <w:rFonts w:ascii="Arial" w:hAnsi="Arial" w:cs="Arial"/>
          <w:sz w:val="22"/>
          <w:szCs w:val="22"/>
        </w:rPr>
        <w:t>c</w:t>
      </w:r>
      <w:r w:rsidRPr="00631CBD">
        <w:rPr>
          <w:rFonts w:ascii="Arial" w:hAnsi="Arial" w:cs="Arial"/>
          <w:sz w:val="22"/>
          <w:szCs w:val="22"/>
        </w:rPr>
        <w:t>ourt by its provisions.</w:t>
      </w:r>
      <w:r w:rsidRPr="00631CBD">
        <w:rPr>
          <w:rStyle w:val="FootnoteReference"/>
          <w:rFonts w:ascii="Arial" w:hAnsi="Arial" w:cs="Arial"/>
          <w:sz w:val="22"/>
          <w:szCs w:val="22"/>
        </w:rPr>
        <w:footnoteReference w:id="38"/>
      </w:r>
      <w:r w:rsidRPr="00631CBD">
        <w:rPr>
          <w:rFonts w:ascii="Arial" w:hAnsi="Arial" w:cs="Arial"/>
          <w:sz w:val="22"/>
          <w:szCs w:val="22"/>
        </w:rPr>
        <w:t xml:space="preserve">  This is made very clear in the speech of Lord Reid in </w:t>
      </w:r>
      <w:r w:rsidRPr="00631CBD">
        <w:rPr>
          <w:rFonts w:ascii="Arial" w:hAnsi="Arial" w:cs="Arial"/>
          <w:i/>
          <w:sz w:val="22"/>
          <w:szCs w:val="22"/>
        </w:rPr>
        <w:t>In re Holmden’s Settlement Trusts</w:t>
      </w:r>
      <w:r w:rsidRPr="00631CBD">
        <w:rPr>
          <w:rFonts w:ascii="Arial" w:hAnsi="Arial" w:cs="Arial"/>
          <w:sz w:val="22"/>
          <w:szCs w:val="22"/>
        </w:rPr>
        <w:t xml:space="preserve">;  </w:t>
      </w:r>
      <w:r w:rsidRPr="00631CBD">
        <w:rPr>
          <w:rFonts w:ascii="Arial" w:hAnsi="Arial" w:cs="Arial"/>
          <w:i/>
          <w:sz w:val="22"/>
          <w:szCs w:val="22"/>
        </w:rPr>
        <w:t xml:space="preserve">Inland Revenue Commissioners v </w:t>
      </w:r>
      <w:r w:rsidRPr="00631CBD">
        <w:rPr>
          <w:rFonts w:ascii="Arial" w:hAnsi="Arial" w:cs="Arial"/>
          <w:i/>
          <w:sz w:val="22"/>
          <w:szCs w:val="22"/>
        </w:rPr>
        <w:lastRenderedPageBreak/>
        <w:t>Holmden</w:t>
      </w:r>
      <w:r w:rsidRPr="00631CBD">
        <w:rPr>
          <w:rStyle w:val="FootnoteReference"/>
          <w:rFonts w:ascii="Arial" w:hAnsi="Arial" w:cs="Arial"/>
          <w:sz w:val="22"/>
          <w:szCs w:val="22"/>
        </w:rPr>
        <w:footnoteReference w:id="39"/>
      </w:r>
      <w:r w:rsidRPr="00631CBD">
        <w:rPr>
          <w:rFonts w:ascii="Arial" w:hAnsi="Arial" w:cs="Arial"/>
          <w:sz w:val="22"/>
          <w:szCs w:val="22"/>
        </w:rPr>
        <w:t xml:space="preserve"> where, referring to the English </w:t>
      </w:r>
      <w:r w:rsidRPr="00631CBD">
        <w:rPr>
          <w:rFonts w:ascii="Arial" w:hAnsi="Arial" w:cs="Arial"/>
          <w:i/>
          <w:sz w:val="22"/>
          <w:szCs w:val="22"/>
        </w:rPr>
        <w:t>Variation of Trusts Act</w:t>
      </w:r>
      <w:r w:rsidRPr="00631CBD">
        <w:rPr>
          <w:rFonts w:ascii="Arial" w:hAnsi="Arial" w:cs="Arial"/>
          <w:sz w:val="22"/>
          <w:szCs w:val="22"/>
        </w:rPr>
        <w:t xml:space="preserve"> 1958 from which the Victorian provision</w:t>
      </w:r>
      <w:r w:rsidR="002F4A76" w:rsidRPr="00631CBD">
        <w:rPr>
          <w:rFonts w:ascii="Arial" w:hAnsi="Arial" w:cs="Arial"/>
          <w:sz w:val="22"/>
          <w:szCs w:val="22"/>
        </w:rPr>
        <w:t>s</w:t>
      </w:r>
      <w:r w:rsidRPr="00631CBD">
        <w:rPr>
          <w:rStyle w:val="FootnoteReference"/>
          <w:rFonts w:ascii="Arial" w:hAnsi="Arial" w:cs="Arial"/>
          <w:sz w:val="22"/>
          <w:szCs w:val="22"/>
        </w:rPr>
        <w:footnoteReference w:id="40"/>
      </w:r>
      <w:r w:rsidR="002F4A76" w:rsidRPr="00631CBD">
        <w:rPr>
          <w:rFonts w:ascii="Arial" w:hAnsi="Arial" w:cs="Arial"/>
          <w:sz w:val="22"/>
          <w:szCs w:val="22"/>
        </w:rPr>
        <w:t xml:space="preserve"> were</w:t>
      </w:r>
      <w:r w:rsidRPr="00631CBD">
        <w:rPr>
          <w:rFonts w:ascii="Arial" w:hAnsi="Arial" w:cs="Arial"/>
          <w:sz w:val="22"/>
          <w:szCs w:val="22"/>
        </w:rPr>
        <w:t xml:space="preserve"> derived, his Lordship said:</w:t>
      </w:r>
      <w:r w:rsidRPr="00631CBD">
        <w:rPr>
          <w:rStyle w:val="FootnoteReference"/>
          <w:rFonts w:ascii="Arial" w:hAnsi="Arial" w:cs="Arial"/>
          <w:sz w:val="22"/>
          <w:szCs w:val="22"/>
        </w:rPr>
        <w:footnoteReference w:id="41"/>
      </w:r>
    </w:p>
    <w:p w14:paraId="7D4A6A7D" w14:textId="77777777" w:rsidR="008151EB" w:rsidRPr="00631CBD" w:rsidRDefault="008151EB" w:rsidP="00631CBD">
      <w:pPr>
        <w:pStyle w:val="Quote1"/>
        <w:spacing w:after="360" w:line="480" w:lineRule="auto"/>
        <w:ind w:left="1440" w:right="746" w:firstLine="0"/>
        <w:rPr>
          <w:rFonts w:ascii="Arial" w:hAnsi="Arial" w:cs="Arial"/>
          <w:szCs w:val="22"/>
        </w:rPr>
      </w:pPr>
      <w:r w:rsidRPr="00631CBD">
        <w:rPr>
          <w:rFonts w:ascii="Arial" w:hAnsi="Arial" w:cs="Arial"/>
          <w:szCs w:val="22"/>
        </w:rPr>
        <w:t>“Under the Variation of Trusts Act the court does not itself amend or vary the trusts of the original settlement.  The beneficiaries are not bound by variations because the court has made the variation.  Each beneficiary is bound because he has consented to the variation.  If he was not of full age when the arrangement was made he is bound because the court was authorised by the Act to approve of it on his behalf and did so by making an order.  If he was of full age and did not in fact consent he is not affected by the order of the court and he is not bound.  So the arrangement must be regarded as an arrangement made by the beneficiaries themselves.  The court merely acted on behalf of or as representing those beneficiaries who were not in a position to give their own consent and approval.”</w:t>
      </w:r>
    </w:p>
    <w:p w14:paraId="2AE43140" w14:textId="77777777" w:rsidR="008151EB" w:rsidRPr="00631CBD" w:rsidRDefault="008151EB" w:rsidP="00631CBD">
      <w:pPr>
        <w:spacing w:line="480" w:lineRule="auto"/>
        <w:rPr>
          <w:rFonts w:ascii="Arial" w:hAnsi="Arial" w:cs="Arial"/>
          <w:sz w:val="22"/>
          <w:szCs w:val="22"/>
        </w:rPr>
      </w:pPr>
      <w:r w:rsidRPr="00631CBD">
        <w:rPr>
          <w:rFonts w:ascii="Arial" w:hAnsi="Arial" w:cs="Arial"/>
          <w:sz w:val="22"/>
          <w:szCs w:val="22"/>
        </w:rPr>
        <w:t>There are, however, situations where it has been found appropriate that the trustee or trustees, where there are more than one of</w:t>
      </w:r>
      <w:r w:rsidR="00497931" w:rsidRPr="00631CBD">
        <w:rPr>
          <w:rFonts w:ascii="Arial" w:hAnsi="Arial" w:cs="Arial"/>
          <w:sz w:val="22"/>
          <w:szCs w:val="22"/>
        </w:rPr>
        <w:t xml:space="preserve"> them, make application to the c</w:t>
      </w:r>
      <w:r w:rsidRPr="00631CBD">
        <w:rPr>
          <w:rFonts w:ascii="Arial" w:hAnsi="Arial" w:cs="Arial"/>
          <w:sz w:val="22"/>
          <w:szCs w:val="22"/>
        </w:rPr>
        <w:t xml:space="preserve">ourt for approval under this variation of trusts legislation.  Again in relation to the equivalent English provisions, Russell J said in </w:t>
      </w:r>
      <w:r w:rsidRPr="00631CBD">
        <w:rPr>
          <w:rFonts w:ascii="Arial" w:hAnsi="Arial" w:cs="Arial"/>
          <w:i/>
          <w:sz w:val="22"/>
          <w:szCs w:val="22"/>
        </w:rPr>
        <w:t>In re Druce’s Settlement Trusts</w:t>
      </w:r>
      <w:r w:rsidRPr="00631CBD">
        <w:rPr>
          <w:rFonts w:ascii="Arial" w:hAnsi="Arial" w:cs="Arial"/>
          <w:sz w:val="22"/>
          <w:szCs w:val="22"/>
        </w:rPr>
        <w:t>:</w:t>
      </w:r>
      <w:r w:rsidRPr="00631CBD">
        <w:rPr>
          <w:rStyle w:val="FootnoteReference"/>
          <w:rFonts w:ascii="Arial" w:hAnsi="Arial" w:cs="Arial"/>
          <w:sz w:val="22"/>
          <w:szCs w:val="22"/>
        </w:rPr>
        <w:footnoteReference w:id="42"/>
      </w:r>
    </w:p>
    <w:p w14:paraId="0F423733" w14:textId="77777777" w:rsidR="008151EB" w:rsidRPr="00631CBD" w:rsidRDefault="008151EB" w:rsidP="00631CBD">
      <w:pPr>
        <w:pStyle w:val="Quote1"/>
        <w:spacing w:after="360" w:line="480" w:lineRule="auto"/>
        <w:ind w:left="720" w:right="746" w:firstLine="0"/>
        <w:rPr>
          <w:rFonts w:ascii="Arial" w:hAnsi="Arial" w:cs="Arial"/>
          <w:szCs w:val="22"/>
        </w:rPr>
      </w:pPr>
      <w:r w:rsidRPr="00631CBD">
        <w:rPr>
          <w:rFonts w:ascii="Arial" w:hAnsi="Arial" w:cs="Arial"/>
          <w:szCs w:val="22"/>
        </w:rPr>
        <w:t>“The application was made not by a beneficiary but by the trustees.  This is a disadvantage, particularly in a case such as the present, where the interests of the persons for whom the court is concerned are not exactly the same as those of some respondent.  It means that there is no counsel whose sole task is to protect and support those interests.  Where the trustees make the application their counsel is there to argue for the acceptance of the scheme:  but at the same time his duty and that of the trustees is to be the watchdog for (for example) unborn interests.  Let me say at once that Mr Brightman for the trustees, while recognising the disadvantage, over</w:t>
      </w:r>
      <w:r w:rsidRPr="00631CBD">
        <w:rPr>
          <w:rFonts w:ascii="Arial" w:hAnsi="Arial" w:cs="Arial"/>
          <w:szCs w:val="22"/>
        </w:rPr>
        <w:lastRenderedPageBreak/>
        <w:t>came admirably the duality of his position.  To change the metaphor, his performance as touch judge was not marred by the fact that he started in the line-out, and I was grateful for his assistance.  Nevertheless, the disadvantages of this duality exist.  Counsel for the applicant trustees must have an instinctive reaction against a criticism from the bench, designed to safeguard or benefit those unborn interests, which would be lacking in a respondent trustee, an instinctive tendency to be against alteration of the scheme for the approval of which he is applying.  Moreover, if the criticism be in fact unsound, it is likely to take longer for the judge to be dissuaded from it because of that very duality.  There are, of course, cases of applications to vary beneficial interests where it is necessary and proper that the trustees should make the application, notwithstanding the disadvantage I have mentioned.  This case was one of them, the trustees being satisfied that the scheme was beneficial to their beneficiaries and no beneficiary being willing to make the application.  But, in general, the trustees should not be the applicants in applications to vary beneficial trusts, unless they are satisfied that the proposals are beneficial to the persons interested and have a good prospect of being approved by the court, and further, that if they do not make the application no one will.  In particular, it would not be right if it became the general practice for such applications to be made by the trustees upon the supposition that should the application fail it will be more probable (though not, of course, certain) that the costs of all parties will be directed to be met out of the trust funds.”</w:t>
      </w:r>
    </w:p>
    <w:p w14:paraId="7A4C55EC" w14:textId="77777777" w:rsidR="008151EB" w:rsidRPr="00631CBD" w:rsidRDefault="008151EB" w:rsidP="00631CBD">
      <w:pPr>
        <w:spacing w:after="360" w:line="480" w:lineRule="auto"/>
        <w:rPr>
          <w:rFonts w:ascii="Arial" w:hAnsi="Arial" w:cs="Arial"/>
          <w:sz w:val="22"/>
          <w:szCs w:val="22"/>
        </w:rPr>
      </w:pPr>
      <w:r w:rsidRPr="00631CBD">
        <w:rPr>
          <w:rFonts w:ascii="Arial" w:hAnsi="Arial" w:cs="Arial"/>
          <w:sz w:val="22"/>
          <w:szCs w:val="22"/>
        </w:rPr>
        <w:t>In the circumstances</w:t>
      </w:r>
      <w:r w:rsidR="00497931" w:rsidRPr="00631CBD">
        <w:rPr>
          <w:rFonts w:ascii="Arial" w:hAnsi="Arial" w:cs="Arial"/>
          <w:sz w:val="22"/>
          <w:szCs w:val="22"/>
        </w:rPr>
        <w:t xml:space="preserve"> of </w:t>
      </w:r>
      <w:r w:rsidR="00497931" w:rsidRPr="00631CBD">
        <w:rPr>
          <w:rFonts w:ascii="Arial" w:hAnsi="Arial" w:cs="Arial"/>
          <w:i/>
          <w:sz w:val="22"/>
          <w:szCs w:val="22"/>
        </w:rPr>
        <w:t>Babcock</w:t>
      </w:r>
      <w:r w:rsidRPr="00631CBD">
        <w:rPr>
          <w:rFonts w:ascii="Arial" w:hAnsi="Arial" w:cs="Arial"/>
          <w:sz w:val="22"/>
          <w:szCs w:val="22"/>
        </w:rPr>
        <w:t xml:space="preserve">, the application under s 63A of the </w:t>
      </w:r>
      <w:r w:rsidRPr="00631CBD">
        <w:rPr>
          <w:rFonts w:ascii="Arial" w:hAnsi="Arial" w:cs="Arial"/>
          <w:i/>
          <w:sz w:val="22"/>
          <w:szCs w:val="22"/>
        </w:rPr>
        <w:t>Trustee Act</w:t>
      </w:r>
      <w:r w:rsidRPr="00631CBD">
        <w:rPr>
          <w:rFonts w:ascii="Arial" w:hAnsi="Arial" w:cs="Arial"/>
          <w:sz w:val="22"/>
          <w:szCs w:val="22"/>
        </w:rPr>
        <w:t xml:space="preserve"> was properly brought by the trustee because the persons who might be determined to be entitled as </w:t>
      </w:r>
      <w:r w:rsidR="00497931" w:rsidRPr="00631CBD">
        <w:rPr>
          <w:rFonts w:ascii="Arial" w:hAnsi="Arial" w:cs="Arial"/>
          <w:sz w:val="22"/>
          <w:szCs w:val="22"/>
        </w:rPr>
        <w:t>“</w:t>
      </w:r>
      <w:r w:rsidRPr="00631CBD">
        <w:rPr>
          <w:rFonts w:ascii="Arial" w:hAnsi="Arial" w:cs="Arial"/>
          <w:sz w:val="22"/>
          <w:szCs w:val="22"/>
        </w:rPr>
        <w:t>Residual Beneficiaries</w:t>
      </w:r>
      <w:r w:rsidR="00497931" w:rsidRPr="00631CBD">
        <w:rPr>
          <w:rFonts w:ascii="Arial" w:hAnsi="Arial" w:cs="Arial"/>
          <w:sz w:val="22"/>
          <w:szCs w:val="22"/>
        </w:rPr>
        <w:t>”</w:t>
      </w:r>
      <w:r w:rsidRPr="00631CBD">
        <w:rPr>
          <w:rFonts w:ascii="Arial" w:hAnsi="Arial" w:cs="Arial"/>
          <w:sz w:val="22"/>
          <w:szCs w:val="22"/>
        </w:rPr>
        <w:t xml:space="preserve"> on termination of the </w:t>
      </w:r>
      <w:r w:rsidR="00497931" w:rsidRPr="00631CBD">
        <w:rPr>
          <w:rFonts w:ascii="Arial" w:hAnsi="Arial" w:cs="Arial"/>
          <w:sz w:val="22"/>
          <w:szCs w:val="22"/>
        </w:rPr>
        <w:t>t</w:t>
      </w:r>
      <w:r w:rsidRPr="00631CBD">
        <w:rPr>
          <w:rFonts w:ascii="Arial" w:hAnsi="Arial" w:cs="Arial"/>
          <w:sz w:val="22"/>
          <w:szCs w:val="22"/>
        </w:rPr>
        <w:t xml:space="preserve">rust were not ascertained.  They were not ascertained because of the requirement that </w:t>
      </w:r>
      <w:r w:rsidR="00497931" w:rsidRPr="00631CBD">
        <w:rPr>
          <w:rFonts w:ascii="Arial" w:hAnsi="Arial" w:cs="Arial"/>
          <w:sz w:val="22"/>
          <w:szCs w:val="22"/>
        </w:rPr>
        <w:t>“</w:t>
      </w:r>
      <w:r w:rsidRPr="00631CBD">
        <w:rPr>
          <w:rFonts w:ascii="Arial" w:hAnsi="Arial" w:cs="Arial"/>
          <w:sz w:val="22"/>
          <w:szCs w:val="22"/>
        </w:rPr>
        <w:t>Residual Beneficiaries</w:t>
      </w:r>
      <w:r w:rsidR="00497931" w:rsidRPr="00631CBD">
        <w:rPr>
          <w:rFonts w:ascii="Arial" w:hAnsi="Arial" w:cs="Arial"/>
          <w:sz w:val="22"/>
          <w:szCs w:val="22"/>
        </w:rPr>
        <w:t>”</w:t>
      </w:r>
      <w:r w:rsidRPr="00631CBD">
        <w:rPr>
          <w:rFonts w:ascii="Arial" w:hAnsi="Arial" w:cs="Arial"/>
          <w:sz w:val="22"/>
          <w:szCs w:val="22"/>
        </w:rPr>
        <w:t xml:space="preserve"> be nominated by the </w:t>
      </w:r>
      <w:r w:rsidR="00497931" w:rsidRPr="00631CBD">
        <w:rPr>
          <w:rFonts w:ascii="Arial" w:hAnsi="Arial" w:cs="Arial"/>
          <w:sz w:val="22"/>
          <w:szCs w:val="22"/>
        </w:rPr>
        <w:t>“</w:t>
      </w:r>
      <w:r w:rsidRPr="00631CBD">
        <w:rPr>
          <w:rFonts w:ascii="Arial" w:hAnsi="Arial" w:cs="Arial"/>
          <w:sz w:val="22"/>
          <w:szCs w:val="22"/>
        </w:rPr>
        <w:t>Remuneration Committee</w:t>
      </w:r>
      <w:r w:rsidR="00497931" w:rsidRPr="00631CBD">
        <w:rPr>
          <w:rFonts w:ascii="Arial" w:hAnsi="Arial" w:cs="Arial"/>
          <w:sz w:val="22"/>
          <w:szCs w:val="22"/>
        </w:rPr>
        <w:t>”</w:t>
      </w:r>
      <w:r w:rsidRPr="00631CBD">
        <w:rPr>
          <w:rFonts w:ascii="Arial" w:hAnsi="Arial" w:cs="Arial"/>
          <w:sz w:val="22"/>
          <w:szCs w:val="22"/>
        </w:rPr>
        <w:t>, a committee not in existence</w:t>
      </w:r>
      <w:r w:rsidR="00497931" w:rsidRPr="00631CBD">
        <w:rPr>
          <w:rFonts w:ascii="Arial" w:hAnsi="Arial" w:cs="Arial"/>
          <w:sz w:val="22"/>
          <w:szCs w:val="22"/>
        </w:rPr>
        <w:t xml:space="preserve"> as a result of the insolvency of Babcock &amp; Brown International Pty Ltd</w:t>
      </w:r>
      <w:r w:rsidRPr="00631CBD">
        <w:rPr>
          <w:rFonts w:ascii="Arial" w:hAnsi="Arial" w:cs="Arial"/>
          <w:sz w:val="22"/>
          <w:szCs w:val="22"/>
        </w:rPr>
        <w:t>.</w:t>
      </w:r>
    </w:p>
    <w:p w14:paraId="5D8939FD" w14:textId="77777777" w:rsidR="008151EB" w:rsidRPr="00631CBD" w:rsidRDefault="008151EB" w:rsidP="00631CBD">
      <w:pPr>
        <w:spacing w:after="360" w:line="480" w:lineRule="auto"/>
        <w:rPr>
          <w:rFonts w:ascii="Arial" w:hAnsi="Arial" w:cs="Arial"/>
          <w:sz w:val="22"/>
          <w:szCs w:val="22"/>
        </w:rPr>
      </w:pPr>
      <w:r w:rsidRPr="00631CBD">
        <w:rPr>
          <w:rFonts w:ascii="Arial" w:hAnsi="Arial" w:cs="Arial"/>
          <w:sz w:val="22"/>
          <w:szCs w:val="22"/>
        </w:rPr>
        <w:t xml:space="preserve">The plaintiff submitted that the </w:t>
      </w:r>
      <w:r w:rsidR="0035439F" w:rsidRPr="00631CBD">
        <w:rPr>
          <w:rFonts w:ascii="Arial" w:hAnsi="Arial" w:cs="Arial"/>
          <w:sz w:val="22"/>
          <w:szCs w:val="22"/>
        </w:rPr>
        <w:t>c</w:t>
      </w:r>
      <w:r w:rsidRPr="00631CBD">
        <w:rPr>
          <w:rFonts w:ascii="Arial" w:hAnsi="Arial" w:cs="Arial"/>
          <w:sz w:val="22"/>
          <w:szCs w:val="22"/>
        </w:rPr>
        <w:t xml:space="preserve">ourt </w:t>
      </w:r>
      <w:r w:rsidR="0035439F" w:rsidRPr="00631CBD">
        <w:rPr>
          <w:rFonts w:ascii="Arial" w:hAnsi="Arial" w:cs="Arial"/>
          <w:sz w:val="22"/>
          <w:szCs w:val="22"/>
        </w:rPr>
        <w:t>must be</w:t>
      </w:r>
      <w:r w:rsidRPr="00631CBD">
        <w:rPr>
          <w:rFonts w:ascii="Arial" w:hAnsi="Arial" w:cs="Arial"/>
          <w:sz w:val="22"/>
          <w:szCs w:val="22"/>
        </w:rPr>
        <w:t xml:space="preserve"> concerned in considering the exercise of the discretionary power under s 63A of the </w:t>
      </w:r>
      <w:r w:rsidRPr="00631CBD">
        <w:rPr>
          <w:rFonts w:ascii="Arial" w:hAnsi="Arial" w:cs="Arial"/>
          <w:i/>
          <w:sz w:val="22"/>
          <w:szCs w:val="22"/>
        </w:rPr>
        <w:t>Trustee Act</w:t>
      </w:r>
      <w:r w:rsidRPr="00631CBD">
        <w:rPr>
          <w:rFonts w:ascii="Arial" w:hAnsi="Arial" w:cs="Arial"/>
          <w:sz w:val="22"/>
          <w:szCs w:val="22"/>
        </w:rPr>
        <w:t xml:space="preserve"> whether the arrangement as a </w:t>
      </w:r>
      <w:r w:rsidRPr="00631CBD">
        <w:rPr>
          <w:rFonts w:ascii="Arial" w:hAnsi="Arial" w:cs="Arial"/>
          <w:sz w:val="22"/>
          <w:szCs w:val="22"/>
        </w:rPr>
        <w:lastRenderedPageBreak/>
        <w:t>whole is, in all the circumstances, such that it is proper to approve it.  In the circumstances</w:t>
      </w:r>
      <w:r w:rsidR="0035439F" w:rsidRPr="00631CBD">
        <w:rPr>
          <w:rFonts w:ascii="Arial" w:hAnsi="Arial" w:cs="Arial"/>
          <w:sz w:val="22"/>
          <w:szCs w:val="22"/>
        </w:rPr>
        <w:t xml:space="preserve"> of </w:t>
      </w:r>
      <w:r w:rsidR="0035439F" w:rsidRPr="00631CBD">
        <w:rPr>
          <w:rFonts w:ascii="Arial" w:hAnsi="Arial" w:cs="Arial"/>
          <w:i/>
          <w:sz w:val="22"/>
          <w:szCs w:val="22"/>
        </w:rPr>
        <w:t>Babcock</w:t>
      </w:r>
      <w:r w:rsidR="0035439F" w:rsidRPr="00631CBD">
        <w:rPr>
          <w:rFonts w:ascii="Arial" w:hAnsi="Arial" w:cs="Arial"/>
          <w:sz w:val="22"/>
          <w:szCs w:val="22"/>
        </w:rPr>
        <w:t>,</w:t>
      </w:r>
      <w:r w:rsidRPr="00631CBD">
        <w:rPr>
          <w:rFonts w:ascii="Arial" w:hAnsi="Arial" w:cs="Arial"/>
          <w:sz w:val="22"/>
          <w:szCs w:val="22"/>
        </w:rPr>
        <w:t xml:space="preserve"> it was submitt</w:t>
      </w:r>
      <w:r w:rsidR="0035439F" w:rsidRPr="00631CBD">
        <w:rPr>
          <w:rFonts w:ascii="Arial" w:hAnsi="Arial" w:cs="Arial"/>
          <w:sz w:val="22"/>
          <w:szCs w:val="22"/>
        </w:rPr>
        <w:t>ed that the proposed variation wa</w:t>
      </w:r>
      <w:r w:rsidRPr="00631CBD">
        <w:rPr>
          <w:rFonts w:ascii="Arial" w:hAnsi="Arial" w:cs="Arial"/>
          <w:sz w:val="22"/>
          <w:szCs w:val="22"/>
        </w:rPr>
        <w:t xml:space="preserve">s for the benefit of all persons and charities who might be appointed as </w:t>
      </w:r>
      <w:r w:rsidR="0035439F" w:rsidRPr="00631CBD">
        <w:rPr>
          <w:rFonts w:ascii="Arial" w:hAnsi="Arial" w:cs="Arial"/>
          <w:sz w:val="22"/>
          <w:szCs w:val="22"/>
        </w:rPr>
        <w:t>“</w:t>
      </w:r>
      <w:r w:rsidRPr="00631CBD">
        <w:rPr>
          <w:rFonts w:ascii="Arial" w:hAnsi="Arial" w:cs="Arial"/>
          <w:sz w:val="22"/>
          <w:szCs w:val="22"/>
        </w:rPr>
        <w:t>Residual Beneficiaries</w:t>
      </w:r>
      <w:r w:rsidR="0035439F" w:rsidRPr="00631CBD">
        <w:rPr>
          <w:rFonts w:ascii="Arial" w:hAnsi="Arial" w:cs="Arial"/>
          <w:sz w:val="22"/>
          <w:szCs w:val="22"/>
        </w:rPr>
        <w:t>”</w:t>
      </w:r>
      <w:r w:rsidRPr="00631CBD">
        <w:rPr>
          <w:rFonts w:ascii="Arial" w:hAnsi="Arial" w:cs="Arial"/>
          <w:sz w:val="22"/>
          <w:szCs w:val="22"/>
        </w:rPr>
        <w:t>.</w:t>
      </w:r>
      <w:r w:rsidR="0035439F" w:rsidRPr="00631CBD">
        <w:rPr>
          <w:rStyle w:val="FootnoteReference"/>
          <w:rFonts w:ascii="Arial" w:hAnsi="Arial" w:cs="Arial"/>
          <w:sz w:val="22"/>
          <w:szCs w:val="22"/>
        </w:rPr>
        <w:footnoteReference w:id="43"/>
      </w:r>
      <w:r w:rsidRPr="00631CBD">
        <w:rPr>
          <w:rFonts w:ascii="Arial" w:hAnsi="Arial" w:cs="Arial"/>
          <w:sz w:val="22"/>
          <w:szCs w:val="22"/>
        </w:rPr>
        <w:t xml:space="preserve">  In this respect, it was submitted that it </w:t>
      </w:r>
      <w:r w:rsidR="0035439F" w:rsidRPr="00631CBD">
        <w:rPr>
          <w:rFonts w:ascii="Arial" w:hAnsi="Arial" w:cs="Arial"/>
          <w:sz w:val="22"/>
          <w:szCs w:val="22"/>
        </w:rPr>
        <w:t>wa</w:t>
      </w:r>
      <w:r w:rsidRPr="00631CBD">
        <w:rPr>
          <w:rFonts w:ascii="Arial" w:hAnsi="Arial" w:cs="Arial"/>
          <w:sz w:val="22"/>
          <w:szCs w:val="22"/>
        </w:rPr>
        <w:t>s important to distinguish between the amendment proposed, which accelerate</w:t>
      </w:r>
      <w:r w:rsidR="0035439F" w:rsidRPr="00631CBD">
        <w:rPr>
          <w:rFonts w:ascii="Arial" w:hAnsi="Arial" w:cs="Arial"/>
          <w:sz w:val="22"/>
          <w:szCs w:val="22"/>
        </w:rPr>
        <w:t>d</w:t>
      </w:r>
      <w:r w:rsidRPr="00631CBD">
        <w:rPr>
          <w:rFonts w:ascii="Arial" w:hAnsi="Arial" w:cs="Arial"/>
          <w:sz w:val="22"/>
          <w:szCs w:val="22"/>
        </w:rPr>
        <w:t xml:space="preserve"> the date for termination of the </w:t>
      </w:r>
      <w:r w:rsidR="0035439F" w:rsidRPr="00631CBD">
        <w:rPr>
          <w:rFonts w:ascii="Arial" w:hAnsi="Arial" w:cs="Arial"/>
          <w:sz w:val="22"/>
          <w:szCs w:val="22"/>
        </w:rPr>
        <w:t>t</w:t>
      </w:r>
      <w:r w:rsidRPr="00631CBD">
        <w:rPr>
          <w:rFonts w:ascii="Arial" w:hAnsi="Arial" w:cs="Arial"/>
          <w:sz w:val="22"/>
          <w:szCs w:val="22"/>
        </w:rPr>
        <w:t xml:space="preserve">rust, and the power of appointment of </w:t>
      </w:r>
      <w:r w:rsidR="00BD67BE" w:rsidRPr="00631CBD">
        <w:rPr>
          <w:rFonts w:ascii="Arial" w:hAnsi="Arial" w:cs="Arial"/>
          <w:sz w:val="22"/>
          <w:szCs w:val="22"/>
        </w:rPr>
        <w:t>“</w:t>
      </w:r>
      <w:r w:rsidRPr="00631CBD">
        <w:rPr>
          <w:rFonts w:ascii="Arial" w:hAnsi="Arial" w:cs="Arial"/>
          <w:sz w:val="22"/>
          <w:szCs w:val="22"/>
        </w:rPr>
        <w:t>Residual Beneficiaries</w:t>
      </w:r>
      <w:r w:rsidR="00BD67BE" w:rsidRPr="00631CBD">
        <w:rPr>
          <w:rFonts w:ascii="Arial" w:hAnsi="Arial" w:cs="Arial"/>
          <w:sz w:val="22"/>
          <w:szCs w:val="22"/>
        </w:rPr>
        <w:t>”</w:t>
      </w:r>
      <w:r w:rsidRPr="00631CBD">
        <w:rPr>
          <w:rFonts w:ascii="Arial" w:hAnsi="Arial" w:cs="Arial"/>
          <w:sz w:val="22"/>
          <w:szCs w:val="22"/>
        </w:rPr>
        <w:t xml:space="preserve">.  It was submitted that the amendment </w:t>
      </w:r>
      <w:r w:rsidR="00BD67BE" w:rsidRPr="00631CBD">
        <w:rPr>
          <w:rFonts w:ascii="Arial" w:hAnsi="Arial" w:cs="Arial"/>
          <w:sz w:val="22"/>
          <w:szCs w:val="22"/>
        </w:rPr>
        <w:t>wa</w:t>
      </w:r>
      <w:r w:rsidRPr="00631CBD">
        <w:rPr>
          <w:rFonts w:ascii="Arial" w:hAnsi="Arial" w:cs="Arial"/>
          <w:sz w:val="22"/>
          <w:szCs w:val="22"/>
        </w:rPr>
        <w:t>s plainly for the “benefit” of the whole class, whether considered as a class or as individual beneficiaries, by reason of the bringing forward of the termination date.</w:t>
      </w:r>
      <w:r w:rsidRPr="00631CBD">
        <w:rPr>
          <w:rStyle w:val="FootnoteReference"/>
          <w:rFonts w:ascii="Arial" w:hAnsi="Arial" w:cs="Arial"/>
          <w:sz w:val="22"/>
          <w:szCs w:val="22"/>
        </w:rPr>
        <w:footnoteReference w:id="44"/>
      </w:r>
      <w:r w:rsidRPr="00631CBD">
        <w:rPr>
          <w:rFonts w:ascii="Arial" w:hAnsi="Arial" w:cs="Arial"/>
          <w:sz w:val="22"/>
          <w:szCs w:val="22"/>
        </w:rPr>
        <w:t xml:space="preserve">  Further, it was submitted that the effect of the proposed variation </w:t>
      </w:r>
      <w:r w:rsidR="00BD67BE" w:rsidRPr="00631CBD">
        <w:rPr>
          <w:rFonts w:ascii="Arial" w:hAnsi="Arial" w:cs="Arial"/>
          <w:sz w:val="22"/>
          <w:szCs w:val="22"/>
        </w:rPr>
        <w:t>wa</w:t>
      </w:r>
      <w:r w:rsidRPr="00631CBD">
        <w:rPr>
          <w:rFonts w:ascii="Arial" w:hAnsi="Arial" w:cs="Arial"/>
          <w:sz w:val="22"/>
          <w:szCs w:val="22"/>
        </w:rPr>
        <w:t>s not to deprive any member of the class, or any individual of a beneficial interest.</w:t>
      </w:r>
      <w:r w:rsidRPr="00631CBD">
        <w:rPr>
          <w:rStyle w:val="FootnoteReference"/>
          <w:rFonts w:ascii="Arial" w:hAnsi="Arial" w:cs="Arial"/>
          <w:sz w:val="22"/>
          <w:szCs w:val="22"/>
        </w:rPr>
        <w:footnoteReference w:id="45"/>
      </w:r>
      <w:r w:rsidRPr="00631CBD">
        <w:rPr>
          <w:rFonts w:ascii="Arial" w:hAnsi="Arial" w:cs="Arial"/>
          <w:sz w:val="22"/>
          <w:szCs w:val="22"/>
        </w:rPr>
        <w:t xml:space="preserve">  It was said that the </w:t>
      </w:r>
      <w:r w:rsidR="00BD67BE" w:rsidRPr="00631CBD">
        <w:rPr>
          <w:rFonts w:ascii="Arial" w:hAnsi="Arial" w:cs="Arial"/>
          <w:sz w:val="22"/>
          <w:szCs w:val="22"/>
        </w:rPr>
        <w:t>c</w:t>
      </w:r>
      <w:r w:rsidRPr="00631CBD">
        <w:rPr>
          <w:rFonts w:ascii="Arial" w:hAnsi="Arial" w:cs="Arial"/>
          <w:sz w:val="22"/>
          <w:szCs w:val="22"/>
        </w:rPr>
        <w:t xml:space="preserve">ourt </w:t>
      </w:r>
      <w:r w:rsidR="00BD67BE" w:rsidRPr="00631CBD">
        <w:rPr>
          <w:rFonts w:ascii="Arial" w:hAnsi="Arial" w:cs="Arial"/>
          <w:sz w:val="22"/>
          <w:szCs w:val="22"/>
        </w:rPr>
        <w:t>wa</w:t>
      </w:r>
      <w:r w:rsidRPr="00631CBD">
        <w:rPr>
          <w:rFonts w:ascii="Arial" w:hAnsi="Arial" w:cs="Arial"/>
          <w:sz w:val="22"/>
          <w:szCs w:val="22"/>
        </w:rPr>
        <w:t xml:space="preserve">s being asked to make a bargain on behalf of the beneficiaries which </w:t>
      </w:r>
      <w:r w:rsidR="00BD67BE" w:rsidRPr="00631CBD">
        <w:rPr>
          <w:rFonts w:ascii="Arial" w:hAnsi="Arial" w:cs="Arial"/>
          <w:sz w:val="22"/>
          <w:szCs w:val="22"/>
        </w:rPr>
        <w:t>wa</w:t>
      </w:r>
      <w:r w:rsidRPr="00631CBD">
        <w:rPr>
          <w:rFonts w:ascii="Arial" w:hAnsi="Arial" w:cs="Arial"/>
          <w:sz w:val="22"/>
          <w:szCs w:val="22"/>
        </w:rPr>
        <w:t>s reasonable and (where the class of beneficiaries includes infants) one that an adult would be prepared to make.</w:t>
      </w:r>
      <w:r w:rsidRPr="00631CBD">
        <w:rPr>
          <w:rStyle w:val="FootnoteReference"/>
          <w:rFonts w:ascii="Arial" w:hAnsi="Arial" w:cs="Arial"/>
          <w:sz w:val="22"/>
          <w:szCs w:val="22"/>
        </w:rPr>
        <w:footnoteReference w:id="46"/>
      </w:r>
      <w:r w:rsidR="00BD67BE" w:rsidRPr="00631CBD">
        <w:rPr>
          <w:rFonts w:ascii="Arial" w:hAnsi="Arial" w:cs="Arial"/>
          <w:sz w:val="22"/>
          <w:szCs w:val="22"/>
        </w:rPr>
        <w:t xml:space="preserve">  </w:t>
      </w:r>
      <w:r w:rsidRPr="00631CBD">
        <w:rPr>
          <w:rFonts w:ascii="Arial" w:hAnsi="Arial" w:cs="Arial"/>
          <w:sz w:val="22"/>
          <w:szCs w:val="22"/>
        </w:rPr>
        <w:t>The defendants</w:t>
      </w:r>
      <w:r w:rsidR="00BD67BE" w:rsidRPr="00631CBD">
        <w:rPr>
          <w:rFonts w:ascii="Arial" w:hAnsi="Arial" w:cs="Arial"/>
          <w:sz w:val="22"/>
          <w:szCs w:val="22"/>
        </w:rPr>
        <w:t>, on the other hand,</w:t>
      </w:r>
      <w:r w:rsidRPr="00631CBD">
        <w:rPr>
          <w:rFonts w:ascii="Arial" w:hAnsi="Arial" w:cs="Arial"/>
          <w:sz w:val="22"/>
          <w:szCs w:val="22"/>
        </w:rPr>
        <w:t xml:space="preserve"> argued against the approval of the proposed amendment to the </w:t>
      </w:r>
      <w:r w:rsidR="00BD67BE" w:rsidRPr="00631CBD">
        <w:rPr>
          <w:rFonts w:ascii="Arial" w:hAnsi="Arial" w:cs="Arial"/>
          <w:sz w:val="22"/>
          <w:szCs w:val="22"/>
        </w:rPr>
        <w:t>t</w:t>
      </w:r>
      <w:r w:rsidRPr="00631CBD">
        <w:rPr>
          <w:rFonts w:ascii="Arial" w:hAnsi="Arial" w:cs="Arial"/>
          <w:sz w:val="22"/>
          <w:szCs w:val="22"/>
        </w:rPr>
        <w:t xml:space="preserve">rust </w:t>
      </w:r>
      <w:r w:rsidR="00BD67BE" w:rsidRPr="00631CBD">
        <w:rPr>
          <w:rFonts w:ascii="Arial" w:hAnsi="Arial" w:cs="Arial"/>
          <w:sz w:val="22"/>
          <w:szCs w:val="22"/>
        </w:rPr>
        <w:t>d</w:t>
      </w:r>
      <w:r w:rsidRPr="00631CBD">
        <w:rPr>
          <w:rFonts w:ascii="Arial" w:hAnsi="Arial" w:cs="Arial"/>
          <w:sz w:val="22"/>
          <w:szCs w:val="22"/>
        </w:rPr>
        <w:t xml:space="preserve">eed on the basis, as indicated, that the </w:t>
      </w:r>
      <w:r w:rsidR="00BD67BE" w:rsidRPr="00631CBD">
        <w:rPr>
          <w:rFonts w:ascii="Arial" w:hAnsi="Arial" w:cs="Arial"/>
          <w:sz w:val="22"/>
          <w:szCs w:val="22"/>
        </w:rPr>
        <w:t>trust had</w:t>
      </w:r>
      <w:r w:rsidRPr="00631CBD">
        <w:rPr>
          <w:rFonts w:ascii="Arial" w:hAnsi="Arial" w:cs="Arial"/>
          <w:sz w:val="22"/>
          <w:szCs w:val="22"/>
        </w:rPr>
        <w:t xml:space="preserve"> failed </w:t>
      </w:r>
      <w:r w:rsidR="00BD67BE" w:rsidRPr="00631CBD">
        <w:rPr>
          <w:rFonts w:ascii="Arial" w:hAnsi="Arial" w:cs="Arial"/>
          <w:sz w:val="22"/>
          <w:szCs w:val="22"/>
        </w:rPr>
        <w:t xml:space="preserve">in circumstances where there had not been complete disposal of the beneficial interest. </w:t>
      </w:r>
      <w:r w:rsidRPr="00631CBD">
        <w:rPr>
          <w:rFonts w:ascii="Arial" w:hAnsi="Arial" w:cs="Arial"/>
          <w:sz w:val="22"/>
          <w:szCs w:val="22"/>
        </w:rPr>
        <w:t xml:space="preserve"> </w:t>
      </w:r>
      <w:r w:rsidR="00BD67BE" w:rsidRPr="00631CBD">
        <w:rPr>
          <w:rFonts w:ascii="Arial" w:hAnsi="Arial" w:cs="Arial"/>
          <w:sz w:val="22"/>
          <w:szCs w:val="22"/>
        </w:rPr>
        <w:lastRenderedPageBreak/>
        <w:t>C</w:t>
      </w:r>
      <w:r w:rsidRPr="00631CBD">
        <w:rPr>
          <w:rFonts w:ascii="Arial" w:hAnsi="Arial" w:cs="Arial"/>
          <w:sz w:val="22"/>
          <w:szCs w:val="22"/>
        </w:rPr>
        <w:t xml:space="preserve">onsequently, </w:t>
      </w:r>
      <w:r w:rsidR="00BD67BE" w:rsidRPr="00631CBD">
        <w:rPr>
          <w:rFonts w:ascii="Arial" w:hAnsi="Arial" w:cs="Arial"/>
          <w:sz w:val="22"/>
          <w:szCs w:val="22"/>
        </w:rPr>
        <w:t xml:space="preserve">it was argued that there was </w:t>
      </w:r>
      <w:r w:rsidRPr="00631CBD">
        <w:rPr>
          <w:rFonts w:ascii="Arial" w:hAnsi="Arial" w:cs="Arial"/>
          <w:sz w:val="22"/>
          <w:szCs w:val="22"/>
        </w:rPr>
        <w:t>a resulting trust, by operation of law, in favour of the settlor.</w:t>
      </w:r>
      <w:r w:rsidR="00BD67BE" w:rsidRPr="00631CBD">
        <w:rPr>
          <w:rStyle w:val="FootnoteReference"/>
          <w:rFonts w:ascii="Arial" w:hAnsi="Arial" w:cs="Arial"/>
          <w:sz w:val="22"/>
          <w:szCs w:val="22"/>
        </w:rPr>
        <w:footnoteReference w:id="47"/>
      </w:r>
    </w:p>
    <w:p w14:paraId="74829778" w14:textId="77777777" w:rsidR="008151EB" w:rsidRPr="00631CBD" w:rsidRDefault="008151EB" w:rsidP="00631CBD">
      <w:pPr>
        <w:spacing w:after="360" w:line="480" w:lineRule="auto"/>
        <w:rPr>
          <w:rFonts w:ascii="Arial" w:hAnsi="Arial" w:cs="Arial"/>
          <w:sz w:val="22"/>
          <w:szCs w:val="22"/>
        </w:rPr>
      </w:pPr>
      <w:r w:rsidRPr="00631CBD">
        <w:rPr>
          <w:rFonts w:ascii="Arial" w:hAnsi="Arial" w:cs="Arial"/>
          <w:sz w:val="22"/>
          <w:szCs w:val="22"/>
        </w:rPr>
        <w:t xml:space="preserve">It was common ground that the parties did not and would not have anticipated the corporate death of Babcock &amp; Brown </w:t>
      </w:r>
      <w:r w:rsidR="00BD67BE" w:rsidRPr="00631CBD">
        <w:rPr>
          <w:rFonts w:ascii="Arial" w:hAnsi="Arial" w:cs="Arial"/>
          <w:sz w:val="22"/>
          <w:szCs w:val="22"/>
        </w:rPr>
        <w:t>group entities and</w:t>
      </w:r>
      <w:r w:rsidRPr="00631CBD">
        <w:rPr>
          <w:rFonts w:ascii="Arial" w:hAnsi="Arial" w:cs="Arial"/>
          <w:sz w:val="22"/>
          <w:szCs w:val="22"/>
        </w:rPr>
        <w:t xml:space="preserve"> the failure of the extensive businesses conducted by these entities</w:t>
      </w:r>
      <w:r w:rsidR="00BD67BE" w:rsidRPr="00631CBD">
        <w:rPr>
          <w:rFonts w:ascii="Arial" w:hAnsi="Arial" w:cs="Arial"/>
          <w:sz w:val="22"/>
          <w:szCs w:val="22"/>
        </w:rPr>
        <w:t>.</w:t>
      </w:r>
      <w:r w:rsidRPr="00631CBD">
        <w:rPr>
          <w:rFonts w:ascii="Arial" w:hAnsi="Arial" w:cs="Arial"/>
          <w:sz w:val="22"/>
          <w:szCs w:val="22"/>
        </w:rPr>
        <w:t xml:space="preserve">  Consequently, it was said that, in all the circumstances, it would not have been anticipated by the settlor that the situation would ever arise that there was no Remuneration Committee in existence as the donee of the power to nominate </w:t>
      </w:r>
      <w:r w:rsidR="00BD67BE" w:rsidRPr="00631CBD">
        <w:rPr>
          <w:rFonts w:ascii="Arial" w:hAnsi="Arial" w:cs="Arial"/>
          <w:sz w:val="22"/>
          <w:szCs w:val="22"/>
        </w:rPr>
        <w:t>“</w:t>
      </w:r>
      <w:r w:rsidRPr="00631CBD">
        <w:rPr>
          <w:rFonts w:ascii="Arial" w:hAnsi="Arial" w:cs="Arial"/>
          <w:sz w:val="22"/>
          <w:szCs w:val="22"/>
        </w:rPr>
        <w:t>Residual Beneficiaries</w:t>
      </w:r>
      <w:r w:rsidR="00BD67BE" w:rsidRPr="00631CBD">
        <w:rPr>
          <w:rFonts w:ascii="Arial" w:hAnsi="Arial" w:cs="Arial"/>
          <w:sz w:val="22"/>
          <w:szCs w:val="22"/>
        </w:rPr>
        <w:t>”</w:t>
      </w:r>
      <w:r w:rsidRPr="00631CBD">
        <w:rPr>
          <w:rFonts w:ascii="Arial" w:hAnsi="Arial" w:cs="Arial"/>
          <w:sz w:val="22"/>
          <w:szCs w:val="22"/>
        </w:rPr>
        <w:t xml:space="preserve"> or that there would not be a Board of Directors of Babcock &amp; Brown Ltd in existence to act in the place of the Remuneration Committee or to appoint a Remuneration Committee as contemplated under the provisions of the Trust Deed.</w:t>
      </w:r>
      <w:r w:rsidRPr="00631CBD">
        <w:rPr>
          <w:rStyle w:val="FootnoteReference"/>
          <w:rFonts w:ascii="Arial" w:hAnsi="Arial" w:cs="Arial"/>
          <w:sz w:val="22"/>
          <w:szCs w:val="22"/>
        </w:rPr>
        <w:footnoteReference w:id="48"/>
      </w:r>
    </w:p>
    <w:p w14:paraId="50F9BA66" w14:textId="77777777" w:rsidR="008151EB" w:rsidRPr="00631CBD" w:rsidRDefault="008151EB" w:rsidP="00631CBD">
      <w:pPr>
        <w:spacing w:after="360" w:line="480" w:lineRule="auto"/>
        <w:rPr>
          <w:rFonts w:ascii="Arial" w:hAnsi="Arial" w:cs="Arial"/>
          <w:sz w:val="22"/>
          <w:szCs w:val="22"/>
        </w:rPr>
      </w:pPr>
      <w:r w:rsidRPr="00631CBD">
        <w:rPr>
          <w:rFonts w:ascii="Arial" w:hAnsi="Arial" w:cs="Arial"/>
          <w:sz w:val="22"/>
          <w:szCs w:val="22"/>
        </w:rPr>
        <w:t xml:space="preserve">Once it </w:t>
      </w:r>
      <w:r w:rsidR="00BD67BE" w:rsidRPr="00631CBD">
        <w:rPr>
          <w:rFonts w:ascii="Arial" w:hAnsi="Arial" w:cs="Arial"/>
          <w:sz w:val="22"/>
          <w:szCs w:val="22"/>
        </w:rPr>
        <w:t>wa</w:t>
      </w:r>
      <w:r w:rsidRPr="00631CBD">
        <w:rPr>
          <w:rFonts w:ascii="Arial" w:hAnsi="Arial" w:cs="Arial"/>
          <w:sz w:val="22"/>
          <w:szCs w:val="22"/>
        </w:rPr>
        <w:t>s decided that no resulting trust ar</w:t>
      </w:r>
      <w:r w:rsidR="00BD67BE" w:rsidRPr="00631CBD">
        <w:rPr>
          <w:rFonts w:ascii="Arial" w:hAnsi="Arial" w:cs="Arial"/>
          <w:sz w:val="22"/>
          <w:szCs w:val="22"/>
        </w:rPr>
        <w:t>o</w:t>
      </w:r>
      <w:r w:rsidRPr="00631CBD">
        <w:rPr>
          <w:rFonts w:ascii="Arial" w:hAnsi="Arial" w:cs="Arial"/>
          <w:sz w:val="22"/>
          <w:szCs w:val="22"/>
        </w:rPr>
        <w:t xml:space="preserve">se, the position </w:t>
      </w:r>
      <w:r w:rsidR="00BD67BE" w:rsidRPr="00631CBD">
        <w:rPr>
          <w:rFonts w:ascii="Arial" w:hAnsi="Arial" w:cs="Arial"/>
          <w:sz w:val="22"/>
          <w:szCs w:val="22"/>
        </w:rPr>
        <w:t>wa</w:t>
      </w:r>
      <w:r w:rsidRPr="00631CBD">
        <w:rPr>
          <w:rFonts w:ascii="Arial" w:hAnsi="Arial" w:cs="Arial"/>
          <w:sz w:val="22"/>
          <w:szCs w:val="22"/>
        </w:rPr>
        <w:t xml:space="preserve">s that without an amendment to the </w:t>
      </w:r>
      <w:r w:rsidR="00BD67BE" w:rsidRPr="00631CBD">
        <w:rPr>
          <w:rFonts w:ascii="Arial" w:hAnsi="Arial" w:cs="Arial"/>
          <w:sz w:val="22"/>
          <w:szCs w:val="22"/>
        </w:rPr>
        <w:t>t</w:t>
      </w:r>
      <w:r w:rsidRPr="00631CBD">
        <w:rPr>
          <w:rFonts w:ascii="Arial" w:hAnsi="Arial" w:cs="Arial"/>
          <w:sz w:val="22"/>
          <w:szCs w:val="22"/>
        </w:rPr>
        <w:t xml:space="preserve">rust </w:t>
      </w:r>
      <w:r w:rsidR="00BD67BE" w:rsidRPr="00631CBD">
        <w:rPr>
          <w:rFonts w:ascii="Arial" w:hAnsi="Arial" w:cs="Arial"/>
          <w:sz w:val="22"/>
          <w:szCs w:val="22"/>
        </w:rPr>
        <w:t>d</w:t>
      </w:r>
      <w:r w:rsidRPr="00631CBD">
        <w:rPr>
          <w:rFonts w:ascii="Arial" w:hAnsi="Arial" w:cs="Arial"/>
          <w:sz w:val="22"/>
          <w:szCs w:val="22"/>
        </w:rPr>
        <w:t xml:space="preserve">eed as proposed, the </w:t>
      </w:r>
      <w:r w:rsidR="00BD67BE" w:rsidRPr="00631CBD">
        <w:rPr>
          <w:rFonts w:ascii="Arial" w:hAnsi="Arial" w:cs="Arial"/>
          <w:sz w:val="22"/>
          <w:szCs w:val="22"/>
        </w:rPr>
        <w:t>t</w:t>
      </w:r>
      <w:r w:rsidRPr="00631CBD">
        <w:rPr>
          <w:rFonts w:ascii="Arial" w:hAnsi="Arial" w:cs="Arial"/>
          <w:sz w:val="22"/>
          <w:szCs w:val="22"/>
        </w:rPr>
        <w:t xml:space="preserve">rust </w:t>
      </w:r>
      <w:r w:rsidR="00BD67BE" w:rsidRPr="00631CBD">
        <w:rPr>
          <w:rFonts w:ascii="Arial" w:hAnsi="Arial" w:cs="Arial"/>
          <w:sz w:val="22"/>
          <w:szCs w:val="22"/>
        </w:rPr>
        <w:t>f</w:t>
      </w:r>
      <w:r w:rsidRPr="00631CBD">
        <w:rPr>
          <w:rFonts w:ascii="Arial" w:hAnsi="Arial" w:cs="Arial"/>
          <w:sz w:val="22"/>
          <w:szCs w:val="22"/>
        </w:rPr>
        <w:t xml:space="preserve">und </w:t>
      </w:r>
      <w:r w:rsidR="00BD67BE" w:rsidRPr="00631CBD">
        <w:rPr>
          <w:rFonts w:ascii="Arial" w:hAnsi="Arial" w:cs="Arial"/>
          <w:sz w:val="22"/>
          <w:szCs w:val="22"/>
        </w:rPr>
        <w:t>would</w:t>
      </w:r>
      <w:r w:rsidRPr="00631CBD">
        <w:rPr>
          <w:rFonts w:ascii="Arial" w:hAnsi="Arial" w:cs="Arial"/>
          <w:sz w:val="22"/>
          <w:szCs w:val="22"/>
        </w:rPr>
        <w:t xml:space="preserve"> be held until the </w:t>
      </w:r>
      <w:r w:rsidR="00BD67BE" w:rsidRPr="00631CBD">
        <w:rPr>
          <w:rFonts w:ascii="Arial" w:hAnsi="Arial" w:cs="Arial"/>
          <w:sz w:val="22"/>
          <w:szCs w:val="22"/>
        </w:rPr>
        <w:t>trust terminated</w:t>
      </w:r>
      <w:r w:rsidRPr="00631CBD">
        <w:rPr>
          <w:rFonts w:ascii="Arial" w:hAnsi="Arial" w:cs="Arial"/>
          <w:sz w:val="22"/>
          <w:szCs w:val="22"/>
        </w:rPr>
        <w:t xml:space="preserve"> under </w:t>
      </w:r>
      <w:r w:rsidR="00BD67BE" w:rsidRPr="00631CBD">
        <w:rPr>
          <w:rFonts w:ascii="Arial" w:hAnsi="Arial" w:cs="Arial"/>
          <w:sz w:val="22"/>
          <w:szCs w:val="22"/>
        </w:rPr>
        <w:t xml:space="preserve">its </w:t>
      </w:r>
      <w:r w:rsidRPr="00631CBD">
        <w:rPr>
          <w:rFonts w:ascii="Arial" w:hAnsi="Arial" w:cs="Arial"/>
          <w:sz w:val="22"/>
          <w:szCs w:val="22"/>
        </w:rPr>
        <w:t>the</w:t>
      </w:r>
      <w:r w:rsidR="00BD67BE" w:rsidRPr="00631CBD">
        <w:rPr>
          <w:rFonts w:ascii="Arial" w:hAnsi="Arial" w:cs="Arial"/>
          <w:sz w:val="22"/>
          <w:szCs w:val="22"/>
        </w:rPr>
        <w:t>n</w:t>
      </w:r>
      <w:r w:rsidRPr="00631CBD">
        <w:rPr>
          <w:rFonts w:ascii="Arial" w:hAnsi="Arial" w:cs="Arial"/>
          <w:sz w:val="22"/>
          <w:szCs w:val="22"/>
        </w:rPr>
        <w:t xml:space="preserve"> existing provisions</w:t>
      </w:r>
      <w:r w:rsidR="00BD67BE" w:rsidRPr="00631CBD">
        <w:rPr>
          <w:rFonts w:ascii="Arial" w:hAnsi="Arial" w:cs="Arial"/>
          <w:sz w:val="22"/>
          <w:szCs w:val="22"/>
        </w:rPr>
        <w:t>,</w:t>
      </w:r>
      <w:r w:rsidRPr="00631CBD">
        <w:rPr>
          <w:rFonts w:ascii="Arial" w:hAnsi="Arial" w:cs="Arial"/>
          <w:sz w:val="22"/>
          <w:szCs w:val="22"/>
        </w:rPr>
        <w:t xml:space="preserve"> in 2084.  Evidence was given that, although the </w:t>
      </w:r>
      <w:r w:rsidR="00BD67BE" w:rsidRPr="00631CBD">
        <w:rPr>
          <w:rFonts w:ascii="Arial" w:hAnsi="Arial" w:cs="Arial"/>
          <w:sz w:val="22"/>
          <w:szCs w:val="22"/>
        </w:rPr>
        <w:t>t</w:t>
      </w:r>
      <w:r w:rsidRPr="00631CBD">
        <w:rPr>
          <w:rFonts w:ascii="Arial" w:hAnsi="Arial" w:cs="Arial"/>
          <w:sz w:val="22"/>
          <w:szCs w:val="22"/>
        </w:rPr>
        <w:t>rust ha</w:t>
      </w:r>
      <w:r w:rsidR="00BD67BE" w:rsidRPr="00631CBD">
        <w:rPr>
          <w:rFonts w:ascii="Arial" w:hAnsi="Arial" w:cs="Arial"/>
          <w:sz w:val="22"/>
          <w:szCs w:val="22"/>
        </w:rPr>
        <w:t>d</w:t>
      </w:r>
      <w:r w:rsidRPr="00631CBD">
        <w:rPr>
          <w:rFonts w:ascii="Arial" w:hAnsi="Arial" w:cs="Arial"/>
          <w:sz w:val="22"/>
          <w:szCs w:val="22"/>
        </w:rPr>
        <w:t xml:space="preserve"> been able to be administered at minimal cost as part of the Babcock &amp; Brown group administrative services, this </w:t>
      </w:r>
      <w:r w:rsidR="00BD67BE" w:rsidRPr="00631CBD">
        <w:rPr>
          <w:rFonts w:ascii="Arial" w:hAnsi="Arial" w:cs="Arial"/>
          <w:sz w:val="22"/>
          <w:szCs w:val="22"/>
        </w:rPr>
        <w:t>would</w:t>
      </w:r>
      <w:r w:rsidRPr="00631CBD">
        <w:rPr>
          <w:rFonts w:ascii="Arial" w:hAnsi="Arial" w:cs="Arial"/>
          <w:sz w:val="22"/>
          <w:szCs w:val="22"/>
        </w:rPr>
        <w:t xml:space="preserve"> change as a result of the demise of that enterprise.  This </w:t>
      </w:r>
      <w:r w:rsidR="00BD67BE" w:rsidRPr="00631CBD">
        <w:rPr>
          <w:rFonts w:ascii="Arial" w:hAnsi="Arial" w:cs="Arial"/>
          <w:sz w:val="22"/>
          <w:szCs w:val="22"/>
        </w:rPr>
        <w:t xml:space="preserve">would </w:t>
      </w:r>
      <w:r w:rsidRPr="00631CBD">
        <w:rPr>
          <w:rFonts w:ascii="Arial" w:hAnsi="Arial" w:cs="Arial"/>
          <w:sz w:val="22"/>
          <w:szCs w:val="22"/>
        </w:rPr>
        <w:t xml:space="preserve">mean that, unless the </w:t>
      </w:r>
      <w:r w:rsidR="00BD67BE" w:rsidRPr="00631CBD">
        <w:rPr>
          <w:rFonts w:ascii="Arial" w:hAnsi="Arial" w:cs="Arial"/>
          <w:sz w:val="22"/>
          <w:szCs w:val="22"/>
        </w:rPr>
        <w:t>t</w:t>
      </w:r>
      <w:r w:rsidRPr="00631CBD">
        <w:rPr>
          <w:rFonts w:ascii="Arial" w:hAnsi="Arial" w:cs="Arial"/>
          <w:sz w:val="22"/>
          <w:szCs w:val="22"/>
        </w:rPr>
        <w:t xml:space="preserve">rust </w:t>
      </w:r>
      <w:r w:rsidR="00BD67BE" w:rsidRPr="00631CBD">
        <w:rPr>
          <w:rFonts w:ascii="Arial" w:hAnsi="Arial" w:cs="Arial"/>
          <w:sz w:val="22"/>
          <w:szCs w:val="22"/>
        </w:rPr>
        <w:t>wa</w:t>
      </w:r>
      <w:r w:rsidRPr="00631CBD">
        <w:rPr>
          <w:rFonts w:ascii="Arial" w:hAnsi="Arial" w:cs="Arial"/>
          <w:sz w:val="22"/>
          <w:szCs w:val="22"/>
        </w:rPr>
        <w:t xml:space="preserve">s terminated, the </w:t>
      </w:r>
      <w:r w:rsidR="00BD67BE" w:rsidRPr="00631CBD">
        <w:rPr>
          <w:rFonts w:ascii="Arial" w:hAnsi="Arial" w:cs="Arial"/>
          <w:sz w:val="22"/>
          <w:szCs w:val="22"/>
        </w:rPr>
        <w:t>t</w:t>
      </w:r>
      <w:r w:rsidRPr="00631CBD">
        <w:rPr>
          <w:rFonts w:ascii="Arial" w:hAnsi="Arial" w:cs="Arial"/>
          <w:sz w:val="22"/>
          <w:szCs w:val="22"/>
        </w:rPr>
        <w:t xml:space="preserve">rust </w:t>
      </w:r>
      <w:r w:rsidR="00BD67BE" w:rsidRPr="00631CBD">
        <w:rPr>
          <w:rFonts w:ascii="Arial" w:hAnsi="Arial" w:cs="Arial"/>
          <w:sz w:val="22"/>
          <w:szCs w:val="22"/>
        </w:rPr>
        <w:t>f</w:t>
      </w:r>
      <w:r w:rsidRPr="00631CBD">
        <w:rPr>
          <w:rFonts w:ascii="Arial" w:hAnsi="Arial" w:cs="Arial"/>
          <w:sz w:val="22"/>
          <w:szCs w:val="22"/>
        </w:rPr>
        <w:t xml:space="preserve">und would </w:t>
      </w:r>
      <w:r w:rsidRPr="00631CBD">
        <w:rPr>
          <w:rFonts w:ascii="Arial" w:hAnsi="Arial" w:cs="Arial"/>
          <w:sz w:val="22"/>
          <w:szCs w:val="22"/>
        </w:rPr>
        <w:lastRenderedPageBreak/>
        <w:t xml:space="preserve">need to be managed “externally” at greater expense, with the result that it would likely be extinguished in paying administrative charges prior to its termination in 2084, as a result of effluxion of a great deal of time.  Clearly, this situation </w:t>
      </w:r>
      <w:r w:rsidR="00BD67BE" w:rsidRPr="00631CBD">
        <w:rPr>
          <w:rFonts w:ascii="Arial" w:hAnsi="Arial" w:cs="Arial"/>
          <w:sz w:val="22"/>
          <w:szCs w:val="22"/>
        </w:rPr>
        <w:t>wa</w:t>
      </w:r>
      <w:r w:rsidRPr="00631CBD">
        <w:rPr>
          <w:rFonts w:ascii="Arial" w:hAnsi="Arial" w:cs="Arial"/>
          <w:sz w:val="22"/>
          <w:szCs w:val="22"/>
        </w:rPr>
        <w:t xml:space="preserve">s not in the interests of any of the potential </w:t>
      </w:r>
      <w:r w:rsidR="00BD67BE" w:rsidRPr="00631CBD">
        <w:rPr>
          <w:rFonts w:ascii="Arial" w:hAnsi="Arial" w:cs="Arial"/>
          <w:sz w:val="22"/>
          <w:szCs w:val="22"/>
        </w:rPr>
        <w:t>“</w:t>
      </w:r>
      <w:r w:rsidRPr="00631CBD">
        <w:rPr>
          <w:rFonts w:ascii="Arial" w:hAnsi="Arial" w:cs="Arial"/>
          <w:sz w:val="22"/>
          <w:szCs w:val="22"/>
        </w:rPr>
        <w:t>Residual Beneficiaries</w:t>
      </w:r>
      <w:r w:rsidR="00BD67BE" w:rsidRPr="00631CBD">
        <w:rPr>
          <w:rFonts w:ascii="Arial" w:hAnsi="Arial" w:cs="Arial"/>
          <w:sz w:val="22"/>
          <w:szCs w:val="22"/>
        </w:rPr>
        <w:t>”</w:t>
      </w:r>
      <w:r w:rsidRPr="00631CBD">
        <w:rPr>
          <w:rFonts w:ascii="Arial" w:hAnsi="Arial" w:cs="Arial"/>
          <w:sz w:val="22"/>
          <w:szCs w:val="22"/>
        </w:rPr>
        <w:t xml:space="preserve"> and, consequently, I </w:t>
      </w:r>
      <w:r w:rsidR="00BD67BE" w:rsidRPr="00631CBD">
        <w:rPr>
          <w:rFonts w:ascii="Arial" w:hAnsi="Arial" w:cs="Arial"/>
          <w:sz w:val="22"/>
          <w:szCs w:val="22"/>
        </w:rPr>
        <w:t xml:space="preserve"> was </w:t>
      </w:r>
      <w:r w:rsidRPr="00631CBD">
        <w:rPr>
          <w:rFonts w:ascii="Arial" w:hAnsi="Arial" w:cs="Arial"/>
          <w:sz w:val="22"/>
          <w:szCs w:val="22"/>
        </w:rPr>
        <w:t xml:space="preserve">of the opinion that this </w:t>
      </w:r>
      <w:r w:rsidR="00BD67BE" w:rsidRPr="00631CBD">
        <w:rPr>
          <w:rFonts w:ascii="Arial" w:hAnsi="Arial" w:cs="Arial"/>
          <w:sz w:val="22"/>
          <w:szCs w:val="22"/>
        </w:rPr>
        <w:t>wa</w:t>
      </w:r>
      <w:r w:rsidRPr="00631CBD">
        <w:rPr>
          <w:rFonts w:ascii="Arial" w:hAnsi="Arial" w:cs="Arial"/>
          <w:sz w:val="22"/>
          <w:szCs w:val="22"/>
        </w:rPr>
        <w:t xml:space="preserve">s an appropriate circumstance to exercise the </w:t>
      </w:r>
      <w:r w:rsidR="00BD67BE" w:rsidRPr="00631CBD">
        <w:rPr>
          <w:rFonts w:ascii="Arial" w:hAnsi="Arial" w:cs="Arial"/>
          <w:sz w:val="22"/>
          <w:szCs w:val="22"/>
        </w:rPr>
        <w:t>c</w:t>
      </w:r>
      <w:r w:rsidRPr="00631CBD">
        <w:rPr>
          <w:rFonts w:ascii="Arial" w:hAnsi="Arial" w:cs="Arial"/>
          <w:sz w:val="22"/>
          <w:szCs w:val="22"/>
        </w:rPr>
        <w:t xml:space="preserve">ourt’s discretion under s 63A of the </w:t>
      </w:r>
      <w:r w:rsidRPr="00631CBD">
        <w:rPr>
          <w:rFonts w:ascii="Arial" w:hAnsi="Arial" w:cs="Arial"/>
          <w:i/>
          <w:sz w:val="22"/>
          <w:szCs w:val="22"/>
        </w:rPr>
        <w:t>Trustee Act</w:t>
      </w:r>
      <w:r w:rsidRPr="00631CBD">
        <w:rPr>
          <w:rFonts w:ascii="Arial" w:hAnsi="Arial" w:cs="Arial"/>
          <w:sz w:val="22"/>
          <w:szCs w:val="22"/>
        </w:rPr>
        <w:t xml:space="preserve"> to approve the amendment to the Trust Deed as sought by the plaintiff.</w:t>
      </w:r>
    </w:p>
    <w:p w14:paraId="1770B2CC" w14:textId="77777777" w:rsidR="004B2009" w:rsidRPr="00631CBD" w:rsidRDefault="004B2009" w:rsidP="00631CBD">
      <w:pPr>
        <w:pStyle w:val="Heading3"/>
        <w:spacing w:after="120" w:line="480" w:lineRule="auto"/>
        <w:rPr>
          <w:rFonts w:ascii="Arial" w:hAnsi="Arial" w:cs="Arial"/>
          <w:sz w:val="22"/>
          <w:szCs w:val="22"/>
        </w:rPr>
      </w:pPr>
      <w:bookmarkStart w:id="12" w:name="_Toc285803287"/>
      <w:r w:rsidRPr="00631CBD">
        <w:rPr>
          <w:rFonts w:ascii="Arial" w:hAnsi="Arial" w:cs="Arial"/>
          <w:sz w:val="22"/>
          <w:szCs w:val="22"/>
        </w:rPr>
        <w:t>No gift to charity capable of implementation</w:t>
      </w:r>
      <w:bookmarkEnd w:id="12"/>
    </w:p>
    <w:p w14:paraId="59880A7C" w14:textId="77777777" w:rsidR="00D90986" w:rsidRPr="00631CBD" w:rsidRDefault="002F4A76" w:rsidP="00631CBD">
      <w:pPr>
        <w:spacing w:after="360" w:line="480" w:lineRule="auto"/>
        <w:rPr>
          <w:rFonts w:ascii="Arial" w:hAnsi="Arial" w:cs="Arial"/>
          <w:sz w:val="22"/>
          <w:szCs w:val="22"/>
        </w:rPr>
      </w:pPr>
      <w:r w:rsidRPr="00631CBD">
        <w:rPr>
          <w:rFonts w:ascii="Arial" w:hAnsi="Arial" w:cs="Arial"/>
          <w:sz w:val="22"/>
          <w:szCs w:val="22"/>
        </w:rPr>
        <w:t>O</w:t>
      </w:r>
      <w:r w:rsidR="00353AE8" w:rsidRPr="00631CBD">
        <w:rPr>
          <w:rFonts w:ascii="Arial" w:hAnsi="Arial" w:cs="Arial"/>
          <w:sz w:val="22"/>
          <w:szCs w:val="22"/>
        </w:rPr>
        <w:t xml:space="preserve">n the failure of the </w:t>
      </w:r>
      <w:r w:rsidR="00FA6923" w:rsidRPr="00631CBD">
        <w:rPr>
          <w:rFonts w:ascii="Arial" w:hAnsi="Arial" w:cs="Arial"/>
          <w:sz w:val="22"/>
          <w:szCs w:val="22"/>
        </w:rPr>
        <w:t xml:space="preserve">commercial purpose of the </w:t>
      </w:r>
      <w:r w:rsidR="00353AE8" w:rsidRPr="00631CBD">
        <w:rPr>
          <w:rFonts w:ascii="Arial" w:hAnsi="Arial" w:cs="Arial"/>
          <w:sz w:val="22"/>
          <w:szCs w:val="22"/>
        </w:rPr>
        <w:t xml:space="preserve">trust, </w:t>
      </w:r>
      <w:r w:rsidR="00FA6923" w:rsidRPr="00631CBD">
        <w:rPr>
          <w:rFonts w:ascii="Arial" w:hAnsi="Arial" w:cs="Arial"/>
          <w:sz w:val="22"/>
          <w:szCs w:val="22"/>
        </w:rPr>
        <w:t xml:space="preserve">and in the absence of </w:t>
      </w:r>
      <w:r w:rsidR="00353AE8" w:rsidRPr="00631CBD">
        <w:rPr>
          <w:rFonts w:ascii="Arial" w:hAnsi="Arial" w:cs="Arial"/>
          <w:sz w:val="22"/>
          <w:szCs w:val="22"/>
        </w:rPr>
        <w:t>any</w:t>
      </w:r>
      <w:r w:rsidR="00384B4E" w:rsidRPr="00631CBD">
        <w:rPr>
          <w:rFonts w:ascii="Arial" w:hAnsi="Arial" w:cs="Arial"/>
          <w:sz w:val="22"/>
          <w:szCs w:val="22"/>
        </w:rPr>
        <w:t xml:space="preserve"> resulting trust in the settlor’s favour, t</w:t>
      </w:r>
      <w:r w:rsidR="00D90986" w:rsidRPr="00631CBD">
        <w:rPr>
          <w:rFonts w:ascii="Arial" w:hAnsi="Arial" w:cs="Arial"/>
          <w:sz w:val="22"/>
          <w:szCs w:val="22"/>
        </w:rPr>
        <w:t xml:space="preserve">he trust property </w:t>
      </w:r>
      <w:r w:rsidR="00353AE8" w:rsidRPr="00631CBD">
        <w:rPr>
          <w:rFonts w:ascii="Arial" w:hAnsi="Arial" w:cs="Arial"/>
          <w:sz w:val="22"/>
          <w:szCs w:val="22"/>
        </w:rPr>
        <w:t>remains</w:t>
      </w:r>
      <w:r w:rsidR="00D90986" w:rsidRPr="00631CBD">
        <w:rPr>
          <w:rFonts w:ascii="Arial" w:hAnsi="Arial" w:cs="Arial"/>
          <w:sz w:val="22"/>
          <w:szCs w:val="22"/>
        </w:rPr>
        <w:t xml:space="preserve"> to be distributed </w:t>
      </w:r>
      <w:r w:rsidR="00353AE8" w:rsidRPr="00631CBD">
        <w:rPr>
          <w:rFonts w:ascii="Arial" w:hAnsi="Arial" w:cs="Arial"/>
          <w:sz w:val="22"/>
          <w:szCs w:val="22"/>
        </w:rPr>
        <w:t>or otherwise dealt with</w:t>
      </w:r>
      <w:r w:rsidR="00D90986" w:rsidRPr="00631CBD">
        <w:rPr>
          <w:rFonts w:ascii="Arial" w:hAnsi="Arial" w:cs="Arial"/>
          <w:sz w:val="22"/>
          <w:szCs w:val="22"/>
        </w:rPr>
        <w:t xml:space="preserve">. </w:t>
      </w:r>
      <w:r w:rsidR="00353AE8" w:rsidRPr="00631CBD">
        <w:rPr>
          <w:rFonts w:ascii="Arial" w:hAnsi="Arial" w:cs="Arial"/>
          <w:sz w:val="22"/>
          <w:szCs w:val="22"/>
        </w:rPr>
        <w:t xml:space="preserve"> </w:t>
      </w:r>
      <w:r w:rsidR="00D90986" w:rsidRPr="00631CBD">
        <w:rPr>
          <w:rFonts w:ascii="Arial" w:hAnsi="Arial" w:cs="Arial"/>
          <w:sz w:val="22"/>
          <w:szCs w:val="22"/>
        </w:rPr>
        <w:t>I</w:t>
      </w:r>
      <w:r w:rsidR="00FA6923" w:rsidRPr="00631CBD">
        <w:rPr>
          <w:rFonts w:ascii="Arial" w:hAnsi="Arial" w:cs="Arial"/>
          <w:sz w:val="22"/>
          <w:szCs w:val="22"/>
        </w:rPr>
        <w:t>f</w:t>
      </w:r>
      <w:r w:rsidR="00D90986" w:rsidRPr="00631CBD">
        <w:rPr>
          <w:rFonts w:ascii="Arial" w:hAnsi="Arial" w:cs="Arial"/>
          <w:sz w:val="22"/>
          <w:szCs w:val="22"/>
        </w:rPr>
        <w:t xml:space="preserve"> </w:t>
      </w:r>
      <w:r w:rsidR="00FA6923" w:rsidRPr="00631CBD">
        <w:rPr>
          <w:rFonts w:ascii="Arial" w:hAnsi="Arial" w:cs="Arial"/>
          <w:sz w:val="22"/>
          <w:szCs w:val="22"/>
        </w:rPr>
        <w:t xml:space="preserve">there are no “residual beneficiaries” provided for and there is no general charitable intent expressed with respect to this residue, the trust will, in all probability, fail utterly.  In these </w:t>
      </w:r>
      <w:r w:rsidR="00353AE8" w:rsidRPr="00631CBD">
        <w:rPr>
          <w:rFonts w:ascii="Arial" w:hAnsi="Arial" w:cs="Arial"/>
          <w:sz w:val="22"/>
          <w:szCs w:val="22"/>
        </w:rPr>
        <w:t>circumstances</w:t>
      </w:r>
      <w:r w:rsidR="00FA6923" w:rsidRPr="00631CBD">
        <w:rPr>
          <w:rFonts w:ascii="Arial" w:hAnsi="Arial" w:cs="Arial"/>
          <w:sz w:val="22"/>
          <w:szCs w:val="22"/>
        </w:rPr>
        <w:t>,</w:t>
      </w:r>
      <w:r w:rsidR="00353AE8" w:rsidRPr="00631CBD">
        <w:rPr>
          <w:rFonts w:ascii="Arial" w:hAnsi="Arial" w:cs="Arial"/>
          <w:sz w:val="22"/>
          <w:szCs w:val="22"/>
        </w:rPr>
        <w:t xml:space="preserve"> where all possibilities of finding or conferring beneficial entitlement are exhausted, </w:t>
      </w:r>
      <w:r w:rsidR="00D90986" w:rsidRPr="00631CBD">
        <w:rPr>
          <w:rFonts w:ascii="Arial" w:hAnsi="Arial" w:cs="Arial"/>
          <w:sz w:val="22"/>
          <w:szCs w:val="22"/>
        </w:rPr>
        <w:t>the trust property will</w:t>
      </w:r>
      <w:r w:rsidR="00FA6923" w:rsidRPr="00631CBD">
        <w:rPr>
          <w:rFonts w:ascii="Arial" w:hAnsi="Arial" w:cs="Arial"/>
          <w:sz w:val="22"/>
          <w:szCs w:val="22"/>
        </w:rPr>
        <w:t>, in most jurisdictions,</w:t>
      </w:r>
      <w:r w:rsidR="00D90986" w:rsidRPr="00631CBD">
        <w:rPr>
          <w:rFonts w:ascii="Arial" w:hAnsi="Arial" w:cs="Arial"/>
          <w:sz w:val="22"/>
          <w:szCs w:val="22"/>
        </w:rPr>
        <w:t xml:space="preserve"> revert to the Crown as </w:t>
      </w:r>
      <w:r w:rsidR="00D90986" w:rsidRPr="00631CBD">
        <w:rPr>
          <w:rFonts w:ascii="Arial" w:hAnsi="Arial" w:cs="Arial"/>
          <w:i/>
          <w:sz w:val="22"/>
          <w:szCs w:val="22"/>
        </w:rPr>
        <w:t>bona vacantia</w:t>
      </w:r>
      <w:r w:rsidR="00353AE8" w:rsidRPr="00631CBD">
        <w:rPr>
          <w:rFonts w:ascii="Arial" w:hAnsi="Arial" w:cs="Arial"/>
          <w:sz w:val="22"/>
          <w:szCs w:val="22"/>
        </w:rPr>
        <w:t>;</w:t>
      </w:r>
      <w:r w:rsidR="00D90986" w:rsidRPr="00631CBD">
        <w:rPr>
          <w:rFonts w:ascii="Arial" w:hAnsi="Arial" w:cs="Arial"/>
          <w:sz w:val="22"/>
          <w:szCs w:val="22"/>
        </w:rPr>
        <w:t xml:space="preserve"> </w:t>
      </w:r>
      <w:r w:rsidR="00353AE8" w:rsidRPr="00631CBD">
        <w:rPr>
          <w:rFonts w:ascii="Arial" w:hAnsi="Arial" w:cs="Arial"/>
          <w:sz w:val="22"/>
          <w:szCs w:val="22"/>
        </w:rPr>
        <w:t xml:space="preserve"> </w:t>
      </w:r>
      <w:r w:rsidR="00D90986" w:rsidRPr="00631CBD">
        <w:rPr>
          <w:rFonts w:ascii="Arial" w:hAnsi="Arial" w:cs="Arial"/>
          <w:sz w:val="22"/>
          <w:szCs w:val="22"/>
        </w:rPr>
        <w:t xml:space="preserve">“vacant goods” or ownerless property </w:t>
      </w:r>
      <w:r w:rsidR="00FA6923" w:rsidRPr="00631CBD">
        <w:rPr>
          <w:rFonts w:ascii="Arial" w:hAnsi="Arial" w:cs="Arial"/>
          <w:sz w:val="22"/>
          <w:szCs w:val="22"/>
        </w:rPr>
        <w:t>which passes</w:t>
      </w:r>
      <w:r w:rsidR="00D90986" w:rsidRPr="00631CBD">
        <w:rPr>
          <w:rFonts w:ascii="Arial" w:hAnsi="Arial" w:cs="Arial"/>
          <w:sz w:val="22"/>
          <w:szCs w:val="22"/>
        </w:rPr>
        <w:t xml:space="preserve"> to the Crown.</w:t>
      </w:r>
      <w:r w:rsidR="00FA6923" w:rsidRPr="00631CBD">
        <w:rPr>
          <w:rStyle w:val="FootnoteReference"/>
          <w:rFonts w:ascii="Arial" w:hAnsi="Arial" w:cs="Arial"/>
          <w:sz w:val="22"/>
          <w:szCs w:val="22"/>
        </w:rPr>
        <w:footnoteReference w:id="49"/>
      </w:r>
      <w:r w:rsidR="00FA6923" w:rsidRPr="00631CBD">
        <w:rPr>
          <w:rFonts w:ascii="Arial" w:hAnsi="Arial" w:cs="Arial"/>
          <w:sz w:val="22"/>
          <w:szCs w:val="22"/>
        </w:rPr>
        <w:t xml:space="preserve"> </w:t>
      </w:r>
      <w:r w:rsidR="00D90986" w:rsidRPr="00631CBD">
        <w:rPr>
          <w:rFonts w:ascii="Arial" w:hAnsi="Arial" w:cs="Arial"/>
          <w:sz w:val="22"/>
          <w:szCs w:val="22"/>
        </w:rPr>
        <w:t xml:space="preserve"> In South Australia, however, </w:t>
      </w:r>
      <w:r w:rsidR="00D90986" w:rsidRPr="00631CBD">
        <w:rPr>
          <w:rFonts w:ascii="Arial" w:hAnsi="Arial" w:cs="Arial"/>
          <w:i/>
          <w:sz w:val="22"/>
          <w:szCs w:val="22"/>
        </w:rPr>
        <w:t>The Trustee Act 1936</w:t>
      </w:r>
      <w:r w:rsidR="00D90986" w:rsidRPr="00631CBD">
        <w:rPr>
          <w:rFonts w:ascii="Arial" w:hAnsi="Arial" w:cs="Arial"/>
          <w:sz w:val="22"/>
          <w:szCs w:val="22"/>
        </w:rPr>
        <w:t xml:space="preserve"> goes a step further and expressly departs from the </w:t>
      </w:r>
      <w:r w:rsidR="0030057E" w:rsidRPr="00631CBD">
        <w:rPr>
          <w:rFonts w:ascii="Arial" w:hAnsi="Arial" w:cs="Arial"/>
          <w:sz w:val="22"/>
          <w:szCs w:val="22"/>
        </w:rPr>
        <w:t>general</w:t>
      </w:r>
      <w:r w:rsidR="00D90986" w:rsidRPr="00631CBD">
        <w:rPr>
          <w:rFonts w:ascii="Arial" w:hAnsi="Arial" w:cs="Arial"/>
          <w:sz w:val="22"/>
          <w:szCs w:val="22"/>
        </w:rPr>
        <w:t xml:space="preserve"> law</w:t>
      </w:r>
      <w:r w:rsidR="00353AE8" w:rsidRPr="00631CBD">
        <w:rPr>
          <w:rFonts w:ascii="Arial" w:hAnsi="Arial" w:cs="Arial"/>
          <w:sz w:val="22"/>
          <w:szCs w:val="22"/>
        </w:rPr>
        <w:t xml:space="preserve">. </w:t>
      </w:r>
      <w:r w:rsidR="00D90986" w:rsidRPr="00631CBD">
        <w:rPr>
          <w:rFonts w:ascii="Arial" w:hAnsi="Arial" w:cs="Arial"/>
          <w:sz w:val="22"/>
          <w:szCs w:val="22"/>
        </w:rPr>
        <w:t xml:space="preserve"> </w:t>
      </w:r>
      <w:r w:rsidR="00353AE8" w:rsidRPr="00631CBD">
        <w:rPr>
          <w:rFonts w:ascii="Arial" w:hAnsi="Arial" w:cs="Arial"/>
          <w:sz w:val="22"/>
          <w:szCs w:val="22"/>
        </w:rPr>
        <w:t>Consequently, where</w:t>
      </w:r>
      <w:r w:rsidR="00D90986" w:rsidRPr="00631CBD">
        <w:rPr>
          <w:rFonts w:ascii="Arial" w:hAnsi="Arial" w:cs="Arial"/>
          <w:sz w:val="22"/>
          <w:szCs w:val="22"/>
        </w:rPr>
        <w:t xml:space="preserve"> a charitable purpose fails the trust property does not become </w:t>
      </w:r>
      <w:r w:rsidR="00D90986" w:rsidRPr="00631CBD">
        <w:rPr>
          <w:rFonts w:ascii="Arial" w:hAnsi="Arial" w:cs="Arial"/>
          <w:i/>
          <w:sz w:val="22"/>
          <w:szCs w:val="22"/>
        </w:rPr>
        <w:t>bona vacantia</w:t>
      </w:r>
      <w:r w:rsidR="00D90986" w:rsidRPr="00631CBD">
        <w:rPr>
          <w:rFonts w:ascii="Arial" w:hAnsi="Arial" w:cs="Arial"/>
          <w:sz w:val="22"/>
          <w:szCs w:val="22"/>
        </w:rPr>
        <w:t xml:space="preserve"> as </w:t>
      </w:r>
      <w:r w:rsidR="0036065E" w:rsidRPr="00631CBD">
        <w:rPr>
          <w:rFonts w:ascii="Arial" w:hAnsi="Arial" w:cs="Arial"/>
          <w:sz w:val="22"/>
          <w:szCs w:val="22"/>
        </w:rPr>
        <w:t>might otherwise be the case;  and</w:t>
      </w:r>
      <w:r w:rsidR="00D90986" w:rsidRPr="00631CBD">
        <w:rPr>
          <w:rFonts w:ascii="Arial" w:hAnsi="Arial" w:cs="Arial"/>
          <w:sz w:val="22"/>
          <w:szCs w:val="22"/>
        </w:rPr>
        <w:t xml:space="preserve"> instead, the </w:t>
      </w:r>
      <w:r w:rsidR="00D90986" w:rsidRPr="00631CBD">
        <w:rPr>
          <w:rFonts w:ascii="Arial" w:hAnsi="Arial" w:cs="Arial"/>
          <w:i/>
          <w:sz w:val="22"/>
          <w:szCs w:val="22"/>
        </w:rPr>
        <w:t>cy-pr</w:t>
      </w:r>
      <w:r w:rsidR="0036065E" w:rsidRPr="00631CBD">
        <w:rPr>
          <w:rFonts w:ascii="Arial" w:hAnsi="Arial" w:cs="Arial"/>
          <w:i/>
          <w:sz w:val="22"/>
          <w:szCs w:val="22"/>
        </w:rPr>
        <w:t>è</w:t>
      </w:r>
      <w:r w:rsidR="00D90986" w:rsidRPr="00631CBD">
        <w:rPr>
          <w:rFonts w:ascii="Arial" w:hAnsi="Arial" w:cs="Arial"/>
          <w:i/>
          <w:sz w:val="22"/>
          <w:szCs w:val="22"/>
        </w:rPr>
        <w:t>s</w:t>
      </w:r>
      <w:r w:rsidR="00D90986" w:rsidRPr="00631CBD">
        <w:rPr>
          <w:rFonts w:ascii="Arial" w:hAnsi="Arial" w:cs="Arial"/>
          <w:sz w:val="22"/>
          <w:szCs w:val="22"/>
        </w:rPr>
        <w:t xml:space="preserve"> doctrine is applicable.</w:t>
      </w:r>
      <w:r w:rsidR="00FA6923" w:rsidRPr="00631CBD">
        <w:rPr>
          <w:rStyle w:val="FootnoteReference"/>
          <w:rFonts w:ascii="Arial" w:hAnsi="Arial" w:cs="Arial"/>
          <w:sz w:val="22"/>
          <w:szCs w:val="22"/>
        </w:rPr>
        <w:footnoteReference w:id="50"/>
      </w:r>
      <w:r w:rsidR="00D90986" w:rsidRPr="00631CBD">
        <w:rPr>
          <w:rFonts w:ascii="Arial" w:hAnsi="Arial" w:cs="Arial"/>
          <w:sz w:val="22"/>
          <w:szCs w:val="22"/>
        </w:rPr>
        <w:t xml:space="preserve"> </w:t>
      </w:r>
      <w:r w:rsidR="00582650" w:rsidRPr="00631CBD">
        <w:rPr>
          <w:rFonts w:ascii="Arial" w:hAnsi="Arial" w:cs="Arial"/>
          <w:sz w:val="22"/>
          <w:szCs w:val="22"/>
        </w:rPr>
        <w:t xml:space="preserve"> </w:t>
      </w:r>
      <w:r w:rsidR="00FA6923" w:rsidRPr="00631CBD">
        <w:rPr>
          <w:rFonts w:ascii="Arial" w:hAnsi="Arial" w:cs="Arial"/>
          <w:sz w:val="22"/>
          <w:szCs w:val="22"/>
        </w:rPr>
        <w:t>On the other hand</w:t>
      </w:r>
      <w:r w:rsidR="00D90986" w:rsidRPr="00631CBD">
        <w:rPr>
          <w:rFonts w:ascii="Arial" w:hAnsi="Arial" w:cs="Arial"/>
          <w:sz w:val="22"/>
          <w:szCs w:val="22"/>
        </w:rPr>
        <w:t xml:space="preserve">, if a charitable purpose </w:t>
      </w:r>
      <w:r w:rsidR="0036065E" w:rsidRPr="00631CBD">
        <w:rPr>
          <w:rFonts w:ascii="Arial" w:hAnsi="Arial" w:cs="Arial"/>
          <w:sz w:val="22"/>
          <w:szCs w:val="22"/>
        </w:rPr>
        <w:lastRenderedPageBreak/>
        <w:t>is established</w:t>
      </w:r>
      <w:r w:rsidR="00FA6923" w:rsidRPr="00631CBD">
        <w:rPr>
          <w:rFonts w:ascii="Arial" w:hAnsi="Arial" w:cs="Arial"/>
          <w:sz w:val="22"/>
          <w:szCs w:val="22"/>
        </w:rPr>
        <w:t xml:space="preserve"> with respect to the “residue”</w:t>
      </w:r>
      <w:r w:rsidR="00D90986" w:rsidRPr="00631CBD">
        <w:rPr>
          <w:rFonts w:ascii="Arial" w:hAnsi="Arial" w:cs="Arial"/>
          <w:sz w:val="22"/>
          <w:szCs w:val="22"/>
        </w:rPr>
        <w:t xml:space="preserve">, the court will consider </w:t>
      </w:r>
      <w:r w:rsidR="0036065E" w:rsidRPr="00631CBD">
        <w:rPr>
          <w:rFonts w:ascii="Arial" w:hAnsi="Arial" w:cs="Arial"/>
          <w:sz w:val="22"/>
          <w:szCs w:val="22"/>
        </w:rPr>
        <w:t>whether</w:t>
      </w:r>
      <w:r w:rsidR="00D90986" w:rsidRPr="00631CBD">
        <w:rPr>
          <w:rFonts w:ascii="Arial" w:hAnsi="Arial" w:cs="Arial"/>
          <w:sz w:val="22"/>
          <w:szCs w:val="22"/>
        </w:rPr>
        <w:t xml:space="preserve"> </w:t>
      </w:r>
      <w:r w:rsidR="00FA6923" w:rsidRPr="00631CBD">
        <w:rPr>
          <w:rFonts w:ascii="Arial" w:hAnsi="Arial" w:cs="Arial"/>
          <w:sz w:val="22"/>
          <w:szCs w:val="22"/>
        </w:rPr>
        <w:t xml:space="preserve">effect can be given to this purpose by means of a scheme under its general jurisdiction or by means of a </w:t>
      </w:r>
      <w:r w:rsidR="00FA6923" w:rsidRPr="00631CBD">
        <w:rPr>
          <w:rFonts w:ascii="Arial" w:hAnsi="Arial" w:cs="Arial"/>
          <w:i/>
          <w:sz w:val="22"/>
          <w:szCs w:val="22"/>
        </w:rPr>
        <w:t>cy-près</w:t>
      </w:r>
      <w:r w:rsidR="00FA6923" w:rsidRPr="00631CBD">
        <w:rPr>
          <w:rFonts w:ascii="Arial" w:hAnsi="Arial" w:cs="Arial"/>
          <w:b/>
          <w:sz w:val="22"/>
          <w:szCs w:val="22"/>
        </w:rPr>
        <w:t xml:space="preserve"> </w:t>
      </w:r>
      <w:r w:rsidR="00FA6923" w:rsidRPr="00631CBD">
        <w:rPr>
          <w:rFonts w:ascii="Arial" w:hAnsi="Arial" w:cs="Arial"/>
          <w:sz w:val="22"/>
          <w:szCs w:val="22"/>
        </w:rPr>
        <w:t>scheme.  In the present context, it is not necessary to consider either type of scheme in any detail, beyond their general nature and purpose.</w:t>
      </w:r>
    </w:p>
    <w:p w14:paraId="530710BC" w14:textId="77777777" w:rsidR="00B914D2" w:rsidRPr="00631CBD" w:rsidRDefault="00B5397E" w:rsidP="00631CBD">
      <w:pPr>
        <w:pStyle w:val="Heading2"/>
        <w:spacing w:line="480" w:lineRule="auto"/>
        <w:rPr>
          <w:rFonts w:ascii="Arial" w:hAnsi="Arial" w:cs="Arial"/>
          <w:sz w:val="22"/>
          <w:szCs w:val="22"/>
        </w:rPr>
      </w:pPr>
      <w:bookmarkStart w:id="13" w:name="TAAK"/>
      <w:bookmarkStart w:id="14" w:name="PAGE_11"/>
      <w:bookmarkStart w:id="15" w:name="_Toc285803288"/>
      <w:bookmarkEnd w:id="13"/>
      <w:bookmarkEnd w:id="14"/>
      <w:r w:rsidRPr="00631CBD">
        <w:rPr>
          <w:rFonts w:ascii="Arial" w:hAnsi="Arial" w:cs="Arial"/>
          <w:sz w:val="22"/>
          <w:szCs w:val="22"/>
        </w:rPr>
        <w:t>General schemes</w:t>
      </w:r>
      <w:bookmarkEnd w:id="15"/>
    </w:p>
    <w:p w14:paraId="5119E665" w14:textId="77777777" w:rsidR="00B03B07" w:rsidRPr="00631CBD" w:rsidRDefault="00B5397E" w:rsidP="00631CBD">
      <w:pPr>
        <w:spacing w:after="240" w:line="480" w:lineRule="auto"/>
        <w:rPr>
          <w:rFonts w:ascii="Arial" w:hAnsi="Arial" w:cs="Arial"/>
          <w:sz w:val="22"/>
          <w:szCs w:val="22"/>
        </w:rPr>
      </w:pPr>
      <w:r w:rsidRPr="00631CBD">
        <w:rPr>
          <w:rFonts w:ascii="Arial" w:hAnsi="Arial" w:cs="Arial"/>
          <w:sz w:val="22"/>
          <w:szCs w:val="22"/>
        </w:rPr>
        <w:t>As discussed by Jacobs, the court may approve a scheme in the exercise of powers within its general jurisdiction where:</w:t>
      </w:r>
      <w:r w:rsidRPr="00631CBD">
        <w:rPr>
          <w:rStyle w:val="FootnoteReference"/>
          <w:rFonts w:ascii="Arial" w:hAnsi="Arial" w:cs="Arial"/>
          <w:sz w:val="22"/>
          <w:szCs w:val="22"/>
        </w:rPr>
        <w:footnoteReference w:id="51"/>
      </w:r>
    </w:p>
    <w:p w14:paraId="69A89252" w14:textId="77777777" w:rsidR="00B5397E" w:rsidRPr="00631CBD" w:rsidRDefault="00B5397E" w:rsidP="00631CBD">
      <w:pPr>
        <w:spacing w:after="360" w:line="480" w:lineRule="auto"/>
        <w:ind w:left="900" w:right="746" w:hanging="180"/>
        <w:rPr>
          <w:rFonts w:ascii="Arial" w:hAnsi="Arial" w:cs="Arial"/>
          <w:sz w:val="22"/>
          <w:szCs w:val="22"/>
        </w:rPr>
      </w:pPr>
      <w:r w:rsidRPr="00631CBD">
        <w:rPr>
          <w:rFonts w:ascii="Arial" w:hAnsi="Arial" w:cs="Arial"/>
          <w:sz w:val="22"/>
          <w:szCs w:val="22"/>
        </w:rPr>
        <w:t xml:space="preserve"> </w:t>
      </w:r>
      <w:r w:rsidR="00B03B07" w:rsidRPr="00631CBD">
        <w:rPr>
          <w:rFonts w:ascii="Arial" w:hAnsi="Arial" w:cs="Arial"/>
          <w:sz w:val="22"/>
          <w:szCs w:val="22"/>
        </w:rPr>
        <w:t xml:space="preserve">“(1) the </w:t>
      </w:r>
      <w:r w:rsidRPr="00631CBD">
        <w:rPr>
          <w:rFonts w:ascii="Arial" w:hAnsi="Arial" w:cs="Arial"/>
          <w:sz w:val="22"/>
          <w:szCs w:val="22"/>
        </w:rPr>
        <w:t>mode of executing a charitable gift is originally undefined;</w:t>
      </w:r>
    </w:p>
    <w:p w14:paraId="030247A2" w14:textId="77777777" w:rsidR="00B5397E" w:rsidRPr="00631CBD" w:rsidRDefault="00B5397E" w:rsidP="00631CBD">
      <w:pPr>
        <w:spacing w:after="360" w:line="480" w:lineRule="auto"/>
        <w:ind w:left="900" w:right="746" w:hanging="180"/>
        <w:rPr>
          <w:rFonts w:ascii="Arial" w:hAnsi="Arial" w:cs="Arial"/>
          <w:sz w:val="22"/>
          <w:szCs w:val="22"/>
        </w:rPr>
      </w:pPr>
      <w:r w:rsidRPr="00631CBD">
        <w:rPr>
          <w:rFonts w:ascii="Arial" w:hAnsi="Arial" w:cs="Arial"/>
          <w:sz w:val="22"/>
          <w:szCs w:val="22"/>
        </w:rPr>
        <w:t xml:space="preserve">   (2) the machinery for ascertaining the objects of a charitable intention fails;  or</w:t>
      </w:r>
    </w:p>
    <w:p w14:paraId="0982BE4A" w14:textId="77777777" w:rsidR="00B5397E" w:rsidRPr="00631CBD" w:rsidRDefault="00B5397E" w:rsidP="00631CBD">
      <w:pPr>
        <w:spacing w:after="360" w:line="480" w:lineRule="auto"/>
        <w:ind w:left="900" w:right="746" w:hanging="180"/>
        <w:rPr>
          <w:rFonts w:ascii="Arial" w:hAnsi="Arial" w:cs="Arial"/>
          <w:sz w:val="22"/>
          <w:szCs w:val="22"/>
        </w:rPr>
      </w:pPr>
      <w:r w:rsidRPr="00631CBD">
        <w:rPr>
          <w:rFonts w:ascii="Arial" w:hAnsi="Arial" w:cs="Arial"/>
          <w:sz w:val="22"/>
          <w:szCs w:val="22"/>
        </w:rPr>
        <w:t xml:space="preserve">   (3) the machinery for effectuating a charitable intention does not exist or fails</w:t>
      </w:r>
      <w:r w:rsidR="00B03B07" w:rsidRPr="00631CBD">
        <w:rPr>
          <w:rFonts w:ascii="Arial" w:hAnsi="Arial" w:cs="Arial"/>
          <w:sz w:val="22"/>
          <w:szCs w:val="22"/>
        </w:rPr>
        <w:t>.</w:t>
      </w:r>
    </w:p>
    <w:p w14:paraId="77CAC558" w14:textId="77777777" w:rsidR="00B03B07" w:rsidRPr="00631CBD" w:rsidRDefault="00B5397E" w:rsidP="00631CBD">
      <w:pPr>
        <w:spacing w:after="360" w:line="480" w:lineRule="auto"/>
        <w:ind w:left="907" w:right="746" w:hanging="187"/>
        <w:rPr>
          <w:rFonts w:ascii="Arial" w:hAnsi="Arial" w:cs="Arial"/>
          <w:sz w:val="22"/>
          <w:szCs w:val="22"/>
        </w:rPr>
      </w:pPr>
      <w:r w:rsidRPr="00631CBD">
        <w:rPr>
          <w:rFonts w:ascii="Arial" w:hAnsi="Arial" w:cs="Arial"/>
          <w:sz w:val="22"/>
          <w:szCs w:val="22"/>
        </w:rPr>
        <w:t xml:space="preserve">   If the donor has appointed trustees but has merely exhibited a general charitable intention and has omitted to specify any particular purpose, the court will nominate the objects for which the gift is to be applied.  In doing so it may have regard to evidence as to the donor’s intentions …</w:t>
      </w:r>
      <w:r w:rsidR="00B03B07" w:rsidRPr="00631CBD">
        <w:rPr>
          <w:rFonts w:ascii="Arial" w:hAnsi="Arial" w:cs="Arial"/>
          <w:sz w:val="22"/>
          <w:szCs w:val="22"/>
        </w:rPr>
        <w:t>”</w:t>
      </w:r>
      <w:r w:rsidRPr="00631CBD">
        <w:rPr>
          <w:rFonts w:ascii="Arial" w:hAnsi="Arial" w:cs="Arial"/>
          <w:sz w:val="22"/>
          <w:szCs w:val="22"/>
        </w:rPr>
        <w:t>.</w:t>
      </w:r>
    </w:p>
    <w:p w14:paraId="3901B519" w14:textId="77777777" w:rsidR="00B03B07" w:rsidRDefault="00B5397E" w:rsidP="00631CBD">
      <w:pPr>
        <w:spacing w:after="360" w:line="480" w:lineRule="auto"/>
        <w:rPr>
          <w:rFonts w:ascii="Arial" w:hAnsi="Arial" w:cs="Arial"/>
          <w:sz w:val="22"/>
          <w:szCs w:val="22"/>
        </w:rPr>
      </w:pPr>
      <w:r w:rsidRPr="00631CBD">
        <w:rPr>
          <w:rFonts w:ascii="Arial" w:hAnsi="Arial" w:cs="Arial"/>
          <w:i/>
          <w:sz w:val="22"/>
          <w:szCs w:val="22"/>
        </w:rPr>
        <w:t xml:space="preserve">Babcock </w:t>
      </w:r>
      <w:r w:rsidRPr="00631CBD">
        <w:rPr>
          <w:rFonts w:ascii="Arial" w:hAnsi="Arial" w:cs="Arial"/>
          <w:sz w:val="22"/>
          <w:szCs w:val="22"/>
        </w:rPr>
        <w:t xml:space="preserve">is an illustration of the application of this jurisdiction in circumstances where the machinery for ascertaining the object or objects of the charitable intention failed as </w:t>
      </w:r>
      <w:r w:rsidRPr="00631CBD">
        <w:rPr>
          <w:rFonts w:ascii="Arial" w:hAnsi="Arial" w:cs="Arial"/>
          <w:sz w:val="22"/>
          <w:szCs w:val="22"/>
        </w:rPr>
        <w:lastRenderedPageBreak/>
        <w:t xml:space="preserve">a result of insolvency and </w:t>
      </w:r>
      <w:r w:rsidR="005558FA" w:rsidRPr="00631CBD">
        <w:rPr>
          <w:rFonts w:ascii="Arial" w:hAnsi="Arial" w:cs="Arial"/>
          <w:sz w:val="22"/>
          <w:szCs w:val="22"/>
        </w:rPr>
        <w:t>commencement of winding up of Babcock &amp; Brown Ltd.  Consequently, the entit</w:t>
      </w:r>
      <w:r w:rsidR="002F4A76" w:rsidRPr="00631CBD">
        <w:rPr>
          <w:rFonts w:ascii="Arial" w:hAnsi="Arial" w:cs="Arial"/>
          <w:sz w:val="22"/>
          <w:szCs w:val="22"/>
        </w:rPr>
        <w:t>y designated to determine the “Residuary B</w:t>
      </w:r>
      <w:r w:rsidR="005558FA" w:rsidRPr="00631CBD">
        <w:rPr>
          <w:rFonts w:ascii="Arial" w:hAnsi="Arial" w:cs="Arial"/>
          <w:sz w:val="22"/>
          <w:szCs w:val="22"/>
        </w:rPr>
        <w:t>eneficiaries” had ceased to exist.</w:t>
      </w:r>
    </w:p>
    <w:p w14:paraId="118D5F9E" w14:textId="77777777" w:rsidR="00631CBD" w:rsidRPr="00631CBD" w:rsidRDefault="00631CBD" w:rsidP="00631CBD">
      <w:pPr>
        <w:spacing w:after="360" w:line="480" w:lineRule="auto"/>
        <w:rPr>
          <w:rFonts w:ascii="Arial" w:hAnsi="Arial" w:cs="Arial"/>
          <w:sz w:val="22"/>
          <w:szCs w:val="22"/>
        </w:rPr>
      </w:pPr>
    </w:p>
    <w:p w14:paraId="7799FA93" w14:textId="77777777" w:rsidR="00493188" w:rsidRPr="00631CBD" w:rsidRDefault="00493188" w:rsidP="00631CBD">
      <w:pPr>
        <w:spacing w:after="240" w:line="480" w:lineRule="auto"/>
        <w:rPr>
          <w:rFonts w:ascii="Arial" w:hAnsi="Arial" w:cs="Arial"/>
          <w:b/>
          <w:i/>
          <w:sz w:val="22"/>
          <w:szCs w:val="22"/>
        </w:rPr>
      </w:pPr>
      <w:r w:rsidRPr="00631CBD">
        <w:rPr>
          <w:rFonts w:ascii="Arial" w:hAnsi="Arial" w:cs="Arial"/>
          <w:b/>
          <w:i/>
          <w:sz w:val="22"/>
          <w:szCs w:val="22"/>
        </w:rPr>
        <w:t>Cy-près schemes</w:t>
      </w:r>
    </w:p>
    <w:p w14:paraId="692ED2DC" w14:textId="77777777" w:rsidR="00493188" w:rsidRPr="00631CBD" w:rsidRDefault="00493188" w:rsidP="00631CBD">
      <w:pPr>
        <w:spacing w:after="360" w:line="480" w:lineRule="auto"/>
        <w:rPr>
          <w:rFonts w:ascii="Arial" w:hAnsi="Arial" w:cs="Arial"/>
          <w:sz w:val="22"/>
          <w:szCs w:val="22"/>
        </w:rPr>
      </w:pPr>
      <w:r w:rsidRPr="00631CBD">
        <w:rPr>
          <w:rFonts w:ascii="Arial" w:hAnsi="Arial" w:cs="Arial"/>
          <w:sz w:val="22"/>
          <w:szCs w:val="22"/>
        </w:rPr>
        <w:t xml:space="preserve">A </w:t>
      </w:r>
      <w:r w:rsidR="00B03B07" w:rsidRPr="00631CBD">
        <w:rPr>
          <w:rFonts w:ascii="Arial" w:hAnsi="Arial" w:cs="Arial"/>
          <w:i/>
          <w:sz w:val="22"/>
          <w:szCs w:val="22"/>
        </w:rPr>
        <w:t>cy</w:t>
      </w:r>
      <w:r w:rsidR="00F75B1E" w:rsidRPr="00631CBD">
        <w:rPr>
          <w:rFonts w:ascii="Arial" w:hAnsi="Arial" w:cs="Arial"/>
          <w:i/>
          <w:sz w:val="22"/>
          <w:szCs w:val="22"/>
        </w:rPr>
        <w:t>-prè</w:t>
      </w:r>
      <w:r w:rsidR="00B03B07" w:rsidRPr="00631CBD">
        <w:rPr>
          <w:rFonts w:ascii="Arial" w:hAnsi="Arial" w:cs="Arial"/>
          <w:i/>
          <w:sz w:val="22"/>
          <w:szCs w:val="22"/>
        </w:rPr>
        <w:t>s</w:t>
      </w:r>
      <w:r w:rsidR="00B03B07" w:rsidRPr="00631CBD">
        <w:rPr>
          <w:rFonts w:ascii="Arial" w:hAnsi="Arial" w:cs="Arial"/>
          <w:sz w:val="22"/>
          <w:szCs w:val="22"/>
        </w:rPr>
        <w:t xml:space="preserve"> scheme</w:t>
      </w:r>
      <w:r w:rsidRPr="00631CBD">
        <w:rPr>
          <w:rFonts w:ascii="Arial" w:hAnsi="Arial" w:cs="Arial"/>
          <w:sz w:val="22"/>
          <w:szCs w:val="22"/>
        </w:rPr>
        <w:t xml:space="preserve"> may be appropriate where it is not possible to give effect to the charitable trust according to its terms other than with respect to matters that may be dealt with under a general scheme</w:t>
      </w:r>
      <w:r w:rsidR="00B03B07" w:rsidRPr="00631CBD">
        <w:rPr>
          <w:rFonts w:ascii="Arial" w:hAnsi="Arial" w:cs="Arial"/>
          <w:sz w:val="22"/>
          <w:szCs w:val="22"/>
        </w:rPr>
        <w:t>.</w:t>
      </w:r>
      <w:r w:rsidRPr="00631CBD">
        <w:rPr>
          <w:rFonts w:ascii="Arial" w:hAnsi="Arial" w:cs="Arial"/>
          <w:sz w:val="22"/>
          <w:szCs w:val="22"/>
        </w:rPr>
        <w:t xml:space="preserve">  This may be due to initial or supervening impossibility.  In other words, the charitable purpose provided for may have been uncertain, non-existent or illegal initially, or have become so.  Alternatively, the charitable purpose of the trust may have been satisfied or exhausted, leaving a residue of trust property.</w:t>
      </w:r>
    </w:p>
    <w:p w14:paraId="445C2CB2" w14:textId="77777777" w:rsidR="00B03B07" w:rsidRPr="00631CBD" w:rsidRDefault="00493188" w:rsidP="00631CBD">
      <w:pPr>
        <w:spacing w:after="360" w:line="480" w:lineRule="auto"/>
        <w:rPr>
          <w:rFonts w:ascii="Arial" w:hAnsi="Arial" w:cs="Arial"/>
          <w:sz w:val="22"/>
          <w:szCs w:val="22"/>
        </w:rPr>
      </w:pPr>
      <w:r w:rsidRPr="00631CBD">
        <w:rPr>
          <w:rFonts w:ascii="Arial" w:hAnsi="Arial" w:cs="Arial"/>
          <w:sz w:val="22"/>
          <w:szCs w:val="22"/>
        </w:rPr>
        <w:t xml:space="preserve">In </w:t>
      </w:r>
      <w:r w:rsidRPr="00631CBD">
        <w:rPr>
          <w:rFonts w:ascii="Arial" w:hAnsi="Arial" w:cs="Arial"/>
          <w:i/>
          <w:sz w:val="22"/>
          <w:szCs w:val="22"/>
        </w:rPr>
        <w:t>Corish v Attorney-General’s Department of NSW</w:t>
      </w:r>
      <w:r w:rsidRPr="00631CBD">
        <w:rPr>
          <w:rFonts w:ascii="Arial" w:hAnsi="Arial" w:cs="Arial"/>
          <w:sz w:val="22"/>
          <w:szCs w:val="22"/>
        </w:rPr>
        <w:t>,</w:t>
      </w:r>
      <w:r w:rsidRPr="00631CBD">
        <w:rPr>
          <w:rStyle w:val="FootnoteReference"/>
          <w:rFonts w:ascii="Arial" w:hAnsi="Arial" w:cs="Arial"/>
          <w:sz w:val="22"/>
          <w:szCs w:val="22"/>
        </w:rPr>
        <w:footnoteReference w:id="52"/>
      </w:r>
      <w:r w:rsidRPr="00631CBD">
        <w:rPr>
          <w:rFonts w:ascii="Arial" w:hAnsi="Arial" w:cs="Arial"/>
          <w:sz w:val="22"/>
          <w:szCs w:val="22"/>
        </w:rPr>
        <w:t xml:space="preserve"> Campbell J described the difference between an administrative scheme and a </w:t>
      </w:r>
      <w:r w:rsidRPr="00631CBD">
        <w:rPr>
          <w:rFonts w:ascii="Arial" w:hAnsi="Arial" w:cs="Arial"/>
          <w:i/>
          <w:sz w:val="22"/>
          <w:szCs w:val="22"/>
        </w:rPr>
        <w:t>cy-près</w:t>
      </w:r>
      <w:r w:rsidRPr="00631CBD">
        <w:rPr>
          <w:rStyle w:val="FootnoteReference"/>
          <w:rFonts w:ascii="Arial" w:hAnsi="Arial" w:cs="Arial"/>
          <w:sz w:val="22"/>
          <w:szCs w:val="22"/>
        </w:rPr>
        <w:t xml:space="preserve"> </w:t>
      </w:r>
      <w:r w:rsidRPr="00631CBD">
        <w:rPr>
          <w:rFonts w:ascii="Arial" w:hAnsi="Arial" w:cs="Arial"/>
          <w:sz w:val="22"/>
          <w:szCs w:val="22"/>
        </w:rPr>
        <w:t>scheme in the following terms:</w:t>
      </w:r>
      <w:r w:rsidR="00B03B07" w:rsidRPr="00631CBD">
        <w:rPr>
          <w:rStyle w:val="FootnoteReference"/>
          <w:rFonts w:ascii="Arial" w:hAnsi="Arial" w:cs="Arial"/>
          <w:sz w:val="22"/>
          <w:szCs w:val="22"/>
        </w:rPr>
        <w:footnoteReference w:id="53"/>
      </w:r>
    </w:p>
    <w:p w14:paraId="1F2B7C49" w14:textId="77777777" w:rsidR="0062510B" w:rsidRPr="00631CBD" w:rsidRDefault="00B8077E" w:rsidP="00631CBD">
      <w:pPr>
        <w:spacing w:after="360" w:line="480" w:lineRule="auto"/>
        <w:ind w:left="900" w:right="746" w:hanging="180"/>
        <w:rPr>
          <w:rFonts w:ascii="Arial" w:hAnsi="Arial" w:cs="Arial"/>
          <w:sz w:val="22"/>
          <w:szCs w:val="22"/>
        </w:rPr>
      </w:pPr>
      <w:r w:rsidRPr="00631CBD">
        <w:rPr>
          <w:rFonts w:ascii="Arial" w:hAnsi="Arial" w:cs="Arial"/>
          <w:sz w:val="22"/>
          <w:szCs w:val="22"/>
        </w:rPr>
        <w:t xml:space="preserve"> </w:t>
      </w:r>
      <w:r w:rsidR="0062510B" w:rsidRPr="00631CBD">
        <w:rPr>
          <w:rFonts w:ascii="Arial" w:hAnsi="Arial" w:cs="Arial"/>
          <w:sz w:val="22"/>
          <w:szCs w:val="22"/>
        </w:rPr>
        <w:t xml:space="preserve">“9.  There is a clear conceptual difference between a </w:t>
      </w:r>
      <w:r w:rsidR="0062510B" w:rsidRPr="00631CBD">
        <w:rPr>
          <w:rFonts w:ascii="Arial" w:hAnsi="Arial" w:cs="Arial"/>
          <w:i/>
          <w:sz w:val="22"/>
          <w:szCs w:val="22"/>
        </w:rPr>
        <w:t>cy-près</w:t>
      </w:r>
      <w:r w:rsidR="0062510B" w:rsidRPr="00631CBD">
        <w:rPr>
          <w:rFonts w:ascii="Arial" w:hAnsi="Arial" w:cs="Arial"/>
          <w:sz w:val="22"/>
          <w:szCs w:val="22"/>
        </w:rPr>
        <w:t xml:space="preserve"> scheme and an administrative scheme for a charitable trust.  It is the difference between ends and means.  A </w:t>
      </w:r>
      <w:r w:rsidR="0062510B" w:rsidRPr="00631CBD">
        <w:rPr>
          <w:rFonts w:ascii="Arial" w:hAnsi="Arial" w:cs="Arial"/>
          <w:i/>
          <w:sz w:val="22"/>
          <w:szCs w:val="22"/>
        </w:rPr>
        <w:t xml:space="preserve">cy-près </w:t>
      </w:r>
      <w:r w:rsidR="0062510B" w:rsidRPr="00631CBD">
        <w:rPr>
          <w:rFonts w:ascii="Arial" w:hAnsi="Arial" w:cs="Arial"/>
          <w:sz w:val="22"/>
          <w:szCs w:val="22"/>
        </w:rPr>
        <w:t>scheme … can be directed when it is impossible or impractical to carry out the objects of the trust in all the details the settlor stipulated.  An administrative scheme supplements and/or clarifies any provisions the settlor has stipulated concerning the manner in which the objects of the trust are to be pursued, when practical circumstances show that the settlor’s stipulation (if any) of the means is inadequate or impractical.”</w:t>
      </w:r>
    </w:p>
    <w:p w14:paraId="624BCB44" w14:textId="77777777" w:rsidR="0062510B" w:rsidRPr="00631CBD" w:rsidRDefault="0062510B" w:rsidP="00631CBD">
      <w:pPr>
        <w:spacing w:after="360" w:line="480" w:lineRule="auto"/>
        <w:rPr>
          <w:rFonts w:ascii="Arial" w:hAnsi="Arial" w:cs="Arial"/>
          <w:sz w:val="22"/>
          <w:szCs w:val="22"/>
        </w:rPr>
      </w:pPr>
      <w:r w:rsidRPr="00631CBD">
        <w:rPr>
          <w:rFonts w:ascii="Arial" w:hAnsi="Arial" w:cs="Arial"/>
          <w:sz w:val="22"/>
          <w:szCs w:val="22"/>
        </w:rPr>
        <w:lastRenderedPageBreak/>
        <w:t xml:space="preserve">The circumstances in which a </w:t>
      </w:r>
      <w:r w:rsidRPr="00631CBD">
        <w:rPr>
          <w:rFonts w:ascii="Arial" w:hAnsi="Arial" w:cs="Arial"/>
          <w:i/>
          <w:sz w:val="22"/>
          <w:szCs w:val="22"/>
        </w:rPr>
        <w:t>cy-près</w:t>
      </w:r>
      <w:r w:rsidRPr="00631CBD">
        <w:rPr>
          <w:rFonts w:ascii="Arial" w:hAnsi="Arial" w:cs="Arial"/>
          <w:sz w:val="22"/>
          <w:szCs w:val="22"/>
        </w:rPr>
        <w:t xml:space="preserve"> scheme may be applied are set out by Jacobs, as follows:</w:t>
      </w:r>
      <w:r w:rsidRPr="00631CBD">
        <w:rPr>
          <w:rStyle w:val="FootnoteReference"/>
          <w:rFonts w:ascii="Arial" w:hAnsi="Arial" w:cs="Arial"/>
          <w:sz w:val="22"/>
          <w:szCs w:val="22"/>
        </w:rPr>
        <w:footnoteReference w:id="54"/>
      </w:r>
    </w:p>
    <w:p w14:paraId="10C1EC3D" w14:textId="77777777" w:rsidR="00B8077E" w:rsidRPr="00631CBD" w:rsidRDefault="00B8077E" w:rsidP="00631CBD">
      <w:pPr>
        <w:spacing w:after="120" w:line="480" w:lineRule="auto"/>
        <w:ind w:left="900" w:right="746" w:hanging="180"/>
        <w:rPr>
          <w:rFonts w:ascii="Arial" w:hAnsi="Arial" w:cs="Arial"/>
          <w:sz w:val="22"/>
          <w:szCs w:val="22"/>
        </w:rPr>
      </w:pPr>
      <w:r w:rsidRPr="00631CBD">
        <w:rPr>
          <w:rFonts w:ascii="Arial" w:hAnsi="Arial" w:cs="Arial"/>
          <w:sz w:val="22"/>
          <w:szCs w:val="22"/>
        </w:rPr>
        <w:t xml:space="preserve"> “In other words, in order for the court to order a </w:t>
      </w:r>
      <w:r w:rsidRPr="00631CBD">
        <w:rPr>
          <w:rFonts w:ascii="Arial" w:hAnsi="Arial" w:cs="Arial"/>
          <w:i/>
          <w:sz w:val="22"/>
          <w:szCs w:val="22"/>
        </w:rPr>
        <w:t xml:space="preserve">cy-près </w:t>
      </w:r>
      <w:r w:rsidRPr="00631CBD">
        <w:rPr>
          <w:rFonts w:ascii="Arial" w:hAnsi="Arial" w:cs="Arial"/>
          <w:sz w:val="22"/>
          <w:szCs w:val="22"/>
        </w:rPr>
        <w:t>scheme, one of the following has to occur:</w:t>
      </w:r>
    </w:p>
    <w:p w14:paraId="7A908F49" w14:textId="77777777" w:rsidR="00B8077E" w:rsidRPr="00631CBD" w:rsidRDefault="00B8077E" w:rsidP="00631CBD">
      <w:pPr>
        <w:spacing w:after="120" w:line="480" w:lineRule="auto"/>
        <w:ind w:left="1440" w:right="746"/>
        <w:rPr>
          <w:rFonts w:ascii="Arial" w:hAnsi="Arial" w:cs="Arial"/>
          <w:sz w:val="22"/>
          <w:szCs w:val="22"/>
        </w:rPr>
      </w:pPr>
      <w:r w:rsidRPr="00631CBD">
        <w:rPr>
          <w:rFonts w:ascii="Arial" w:hAnsi="Arial" w:cs="Arial"/>
          <w:sz w:val="22"/>
          <w:szCs w:val="22"/>
        </w:rPr>
        <w:t>(1) there is</w:t>
      </w:r>
    </w:p>
    <w:p w14:paraId="16D5ED64" w14:textId="77777777" w:rsidR="00B8077E" w:rsidRPr="00631CBD" w:rsidRDefault="00B8077E" w:rsidP="00631CBD">
      <w:pPr>
        <w:spacing w:after="120" w:line="480" w:lineRule="auto"/>
        <w:ind w:left="1800" w:right="746"/>
        <w:rPr>
          <w:rFonts w:ascii="Arial" w:hAnsi="Arial" w:cs="Arial"/>
          <w:sz w:val="22"/>
          <w:szCs w:val="22"/>
        </w:rPr>
      </w:pPr>
      <w:r w:rsidRPr="00631CBD">
        <w:rPr>
          <w:rFonts w:ascii="Arial" w:hAnsi="Arial" w:cs="Arial"/>
          <w:sz w:val="22"/>
          <w:szCs w:val="22"/>
        </w:rPr>
        <w:t>(a) a case of initial impossibility, and</w:t>
      </w:r>
    </w:p>
    <w:p w14:paraId="2800D133" w14:textId="77777777" w:rsidR="00B8077E" w:rsidRPr="00631CBD" w:rsidRDefault="00B8077E" w:rsidP="00631CBD">
      <w:pPr>
        <w:spacing w:after="120" w:line="480" w:lineRule="auto"/>
        <w:ind w:left="1800" w:right="749"/>
        <w:rPr>
          <w:rFonts w:ascii="Arial" w:hAnsi="Arial" w:cs="Arial"/>
          <w:sz w:val="22"/>
          <w:szCs w:val="22"/>
        </w:rPr>
      </w:pPr>
      <w:r w:rsidRPr="00631CBD">
        <w:rPr>
          <w:rFonts w:ascii="Arial" w:hAnsi="Arial" w:cs="Arial"/>
          <w:sz w:val="22"/>
          <w:szCs w:val="22"/>
        </w:rPr>
        <w:t>(b) either an out-and-out intention to benefit charity or a general charitable intention plus a possible mode of effectuating that intention;  or</w:t>
      </w:r>
    </w:p>
    <w:p w14:paraId="42664A06" w14:textId="77777777" w:rsidR="00B8077E" w:rsidRPr="00631CBD" w:rsidRDefault="00B8077E" w:rsidP="00631CBD">
      <w:pPr>
        <w:spacing w:after="120" w:line="480" w:lineRule="auto"/>
        <w:ind w:left="1440" w:right="749"/>
        <w:rPr>
          <w:rFonts w:ascii="Arial" w:hAnsi="Arial" w:cs="Arial"/>
          <w:sz w:val="22"/>
          <w:szCs w:val="22"/>
        </w:rPr>
      </w:pPr>
      <w:r w:rsidRPr="00631CBD">
        <w:rPr>
          <w:rFonts w:ascii="Arial" w:hAnsi="Arial" w:cs="Arial"/>
          <w:sz w:val="22"/>
          <w:szCs w:val="22"/>
        </w:rPr>
        <w:t>(2) there is a case of supervening impossibility (whether the intention be general or merely particular);  or</w:t>
      </w:r>
    </w:p>
    <w:p w14:paraId="6932A05E" w14:textId="77777777" w:rsidR="00B8077E" w:rsidRPr="00631CBD" w:rsidRDefault="00B8077E" w:rsidP="00631CBD">
      <w:pPr>
        <w:spacing w:after="120" w:line="480" w:lineRule="auto"/>
        <w:ind w:left="1440" w:right="749"/>
        <w:rPr>
          <w:rFonts w:ascii="Arial" w:hAnsi="Arial" w:cs="Arial"/>
          <w:sz w:val="22"/>
          <w:szCs w:val="22"/>
        </w:rPr>
      </w:pPr>
      <w:r w:rsidRPr="00631CBD">
        <w:rPr>
          <w:rFonts w:ascii="Arial" w:hAnsi="Arial" w:cs="Arial"/>
          <w:sz w:val="22"/>
          <w:szCs w:val="22"/>
        </w:rPr>
        <w:t>(3) there is a case where a trust has exhausted its original purpose (whether the original purpose be particular or general in intent) and a surplus remains.  Each of these situations will be dealt with in turn.</w:t>
      </w:r>
      <w:r w:rsidR="00D85D61" w:rsidRPr="00631CBD">
        <w:rPr>
          <w:rStyle w:val="FootnoteReference"/>
          <w:rFonts w:ascii="Arial" w:hAnsi="Arial" w:cs="Arial"/>
          <w:sz w:val="22"/>
          <w:szCs w:val="22"/>
        </w:rPr>
        <w:footnoteReference w:id="55"/>
      </w:r>
      <w:r w:rsidRPr="00631CBD">
        <w:rPr>
          <w:rFonts w:ascii="Arial" w:hAnsi="Arial" w:cs="Arial"/>
          <w:sz w:val="22"/>
          <w:szCs w:val="22"/>
        </w:rPr>
        <w:t>”</w:t>
      </w:r>
    </w:p>
    <w:p w14:paraId="563F2E55" w14:textId="77777777" w:rsidR="005A4823" w:rsidRPr="00631CBD" w:rsidRDefault="005A4823" w:rsidP="00631CBD">
      <w:pPr>
        <w:spacing w:line="480" w:lineRule="auto"/>
        <w:rPr>
          <w:rFonts w:ascii="Arial" w:hAnsi="Arial" w:cs="Arial"/>
          <w:sz w:val="22"/>
          <w:szCs w:val="22"/>
        </w:rPr>
      </w:pPr>
      <w:r w:rsidRPr="00631CBD">
        <w:rPr>
          <w:rFonts w:ascii="Arial" w:hAnsi="Arial" w:cs="Arial"/>
          <w:sz w:val="22"/>
          <w:szCs w:val="22"/>
        </w:rPr>
        <w:t>The relevant legislation in South Australia is:</w:t>
      </w:r>
      <w:r w:rsidR="0028649C" w:rsidRPr="00631CBD">
        <w:rPr>
          <w:rStyle w:val="FootnoteReference"/>
          <w:rFonts w:ascii="Arial" w:hAnsi="Arial" w:cs="Arial"/>
          <w:sz w:val="22"/>
          <w:szCs w:val="22"/>
        </w:rPr>
        <w:footnoteReference w:id="56"/>
      </w:r>
    </w:p>
    <w:p w14:paraId="50E15A34" w14:textId="77777777" w:rsidR="005A4823" w:rsidRPr="00631CBD" w:rsidRDefault="00AC7DA5" w:rsidP="00631CBD">
      <w:pPr>
        <w:pStyle w:val="clauseheadlevel2"/>
        <w:spacing w:before="0" w:after="120" w:line="480" w:lineRule="auto"/>
        <w:ind w:left="1287"/>
        <w:jc w:val="both"/>
        <w:rPr>
          <w:rFonts w:ascii="Arial" w:hAnsi="Arial" w:cs="Arial"/>
          <w:b w:val="0"/>
          <w:i/>
          <w:sz w:val="22"/>
          <w:szCs w:val="22"/>
        </w:rPr>
      </w:pPr>
      <w:bookmarkStart w:id="16" w:name="Elkera_Print_TOC116"/>
      <w:bookmarkStart w:id="17" w:name="Elkera_Print_BK116"/>
      <w:r w:rsidRPr="00631CBD">
        <w:rPr>
          <w:rFonts w:ascii="Arial" w:hAnsi="Arial" w:cs="Arial"/>
          <w:b w:val="0"/>
          <w:sz w:val="22"/>
          <w:szCs w:val="22"/>
        </w:rPr>
        <w:t>“</w:t>
      </w:r>
      <w:r w:rsidR="005A4823" w:rsidRPr="00631CBD">
        <w:rPr>
          <w:rFonts w:ascii="Arial" w:hAnsi="Arial" w:cs="Arial"/>
          <w:b w:val="0"/>
          <w:i/>
          <w:sz w:val="22"/>
          <w:szCs w:val="22"/>
        </w:rPr>
        <w:t>69B—Alteration of purposes of charitable trust</w:t>
      </w:r>
      <w:bookmarkEnd w:id="16"/>
      <w:bookmarkEnd w:id="17"/>
    </w:p>
    <w:p w14:paraId="704E693C" w14:textId="77777777" w:rsidR="005A4823" w:rsidRPr="00631CBD" w:rsidRDefault="005A4823" w:rsidP="00631CBD">
      <w:pPr>
        <w:keepNext/>
        <w:keepLines/>
        <w:tabs>
          <w:tab w:val="center" w:pos="397"/>
          <w:tab w:val="left" w:pos="794"/>
        </w:tabs>
        <w:autoSpaceDE w:val="0"/>
        <w:autoSpaceDN w:val="0"/>
        <w:adjustRightInd w:val="0"/>
        <w:spacing w:after="120" w:line="480" w:lineRule="auto"/>
        <w:ind w:left="1514" w:hanging="794"/>
        <w:rPr>
          <w:rFonts w:ascii="Arial" w:hAnsi="Arial" w:cs="Arial"/>
          <w:color w:val="000000"/>
          <w:sz w:val="22"/>
          <w:szCs w:val="22"/>
        </w:rPr>
      </w:pPr>
      <w:r w:rsidRPr="00631CBD">
        <w:rPr>
          <w:rFonts w:ascii="Arial" w:hAnsi="Arial" w:cs="Arial"/>
          <w:color w:val="000000"/>
          <w:sz w:val="22"/>
          <w:szCs w:val="22"/>
        </w:rPr>
        <w:tab/>
        <w:t>(1)</w:t>
      </w:r>
      <w:r w:rsidRPr="00631CBD">
        <w:rPr>
          <w:rFonts w:ascii="Arial" w:hAnsi="Arial" w:cs="Arial"/>
          <w:color w:val="000000"/>
          <w:sz w:val="22"/>
          <w:szCs w:val="22"/>
        </w:rPr>
        <w:tab/>
        <w:t xml:space="preserve">The purposes for which property is required or permitted to be applied in pursuance of a charitable trust may be altered by a scheme (a </w:t>
      </w:r>
      <w:r w:rsidRPr="00631CBD">
        <w:rPr>
          <w:rFonts w:ascii="Arial" w:hAnsi="Arial" w:cs="Arial"/>
          <w:bCs/>
          <w:i/>
          <w:iCs/>
          <w:color w:val="000000"/>
          <w:sz w:val="22"/>
          <w:szCs w:val="22"/>
        </w:rPr>
        <w:t>trust variation scheme</w:t>
      </w:r>
      <w:r w:rsidRPr="00631CBD">
        <w:rPr>
          <w:rFonts w:ascii="Arial" w:hAnsi="Arial" w:cs="Arial"/>
          <w:color w:val="000000"/>
          <w:sz w:val="22"/>
          <w:szCs w:val="22"/>
        </w:rPr>
        <w:t>) approved under this section in any of the following circumstances:</w:t>
      </w:r>
    </w:p>
    <w:p w14:paraId="0B2815AA"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(a)</w:t>
      </w:r>
      <w:r w:rsidRPr="00631CBD">
        <w:rPr>
          <w:rFonts w:ascii="Arial" w:hAnsi="Arial" w:cs="Arial"/>
          <w:color w:val="000000"/>
          <w:sz w:val="22"/>
          <w:szCs w:val="22"/>
        </w:rPr>
        <w:tab/>
        <w:t>where the original purposes, in whole or in part—</w:t>
      </w:r>
    </w:p>
    <w:p w14:paraId="1BD3DFC5"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w:t>
      </w:r>
      <w:r w:rsidRPr="00631CBD">
        <w:rPr>
          <w:rFonts w:ascii="Arial" w:hAnsi="Arial" w:cs="Arial"/>
          <w:color w:val="000000"/>
          <w:sz w:val="22"/>
          <w:szCs w:val="22"/>
        </w:rPr>
        <w:tab/>
        <w:t>have been as far as possible fulfilled; or</w:t>
      </w:r>
    </w:p>
    <w:p w14:paraId="2A3C4735"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(ii)</w:t>
      </w:r>
      <w:r w:rsidRPr="00631CBD">
        <w:rPr>
          <w:rFonts w:ascii="Arial" w:hAnsi="Arial" w:cs="Arial"/>
          <w:color w:val="000000"/>
          <w:sz w:val="22"/>
          <w:szCs w:val="22"/>
        </w:rPr>
        <w:tab/>
        <w:t>cannot be carried out, or not according to the directions given and to the spirit of the gift; or</w:t>
      </w:r>
    </w:p>
    <w:p w14:paraId="65849065"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lastRenderedPageBreak/>
        <w:tab/>
        <w:t>(b)</w:t>
      </w:r>
      <w:r w:rsidRPr="00631CBD">
        <w:rPr>
          <w:rFonts w:ascii="Arial" w:hAnsi="Arial" w:cs="Arial"/>
          <w:color w:val="000000"/>
          <w:sz w:val="22"/>
          <w:szCs w:val="22"/>
        </w:rPr>
        <w:tab/>
        <w:t>where the original purposes provide a use for part only of the trust property; or</w:t>
      </w:r>
    </w:p>
    <w:p w14:paraId="29A47239"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(c)</w:t>
      </w:r>
      <w:r w:rsidRPr="00631CBD">
        <w:rPr>
          <w:rFonts w:ascii="Arial" w:hAnsi="Arial" w:cs="Arial"/>
          <w:color w:val="000000"/>
          <w:sz w:val="22"/>
          <w:szCs w:val="22"/>
        </w:rPr>
        <w:tab/>
        <w:t>where the trust property could be more effectively used if combined with other property applicable for similar purposes and administered jointly with that property; or</w:t>
      </w:r>
    </w:p>
    <w:p w14:paraId="24BEAE07"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(d)</w:t>
      </w:r>
      <w:r w:rsidRPr="00631CBD">
        <w:rPr>
          <w:rFonts w:ascii="Arial" w:hAnsi="Arial" w:cs="Arial"/>
          <w:color w:val="000000"/>
          <w:sz w:val="22"/>
          <w:szCs w:val="22"/>
        </w:rPr>
        <w:tab/>
        <w:t>where it is not reasonably practicable having regard to—</w:t>
      </w:r>
    </w:p>
    <w:p w14:paraId="42271AA9"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w:t>
      </w:r>
      <w:r w:rsidRPr="00631CBD">
        <w:rPr>
          <w:rFonts w:ascii="Arial" w:hAnsi="Arial" w:cs="Arial"/>
          <w:color w:val="000000"/>
          <w:sz w:val="22"/>
          <w:szCs w:val="22"/>
        </w:rPr>
        <w:tab/>
        <w:t>the value of the trust property; or</w:t>
      </w:r>
    </w:p>
    <w:p w14:paraId="7136903F"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(ii)</w:t>
      </w:r>
      <w:r w:rsidRPr="00631CBD">
        <w:rPr>
          <w:rFonts w:ascii="Arial" w:hAnsi="Arial" w:cs="Arial"/>
          <w:color w:val="000000"/>
          <w:sz w:val="22"/>
          <w:szCs w:val="22"/>
        </w:rPr>
        <w:tab/>
        <w:t>changes in circumstances that have taken place since the constitution of the trust; or</w:t>
      </w:r>
    </w:p>
    <w:p w14:paraId="5548AC55"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(iii)</w:t>
      </w:r>
      <w:r w:rsidRPr="00631CBD">
        <w:rPr>
          <w:rFonts w:ascii="Arial" w:hAnsi="Arial" w:cs="Arial"/>
          <w:color w:val="000000"/>
          <w:sz w:val="22"/>
          <w:szCs w:val="22"/>
        </w:rPr>
        <w:tab/>
        <w:t>any other relevant factor,</w:t>
      </w:r>
    </w:p>
    <w:p w14:paraId="60082500" w14:textId="77777777" w:rsidR="005A4823" w:rsidRPr="00631CBD" w:rsidRDefault="005A4823" w:rsidP="00631CBD">
      <w:pPr>
        <w:keepLines/>
        <w:autoSpaceDE w:val="0"/>
        <w:autoSpaceDN w:val="0"/>
        <w:adjustRightInd w:val="0"/>
        <w:spacing w:after="120" w:line="480" w:lineRule="auto"/>
        <w:ind w:left="2308"/>
        <w:rPr>
          <w:rFonts w:ascii="Arial" w:hAnsi="Arial" w:cs="Arial"/>
          <w:color w:val="000000"/>
          <w:sz w:val="22"/>
          <w:szCs w:val="22"/>
        </w:rPr>
      </w:pPr>
      <w:r w:rsidRPr="00631CBD">
        <w:rPr>
          <w:rFonts w:ascii="Arial" w:hAnsi="Arial" w:cs="Arial"/>
          <w:color w:val="000000"/>
          <w:sz w:val="22"/>
          <w:szCs w:val="22"/>
        </w:rPr>
        <w:t>to apply the trust property in accordance with the original purposes; or</w:t>
      </w:r>
    </w:p>
    <w:p w14:paraId="33804EF6"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(e)</w:t>
      </w:r>
      <w:r w:rsidRPr="00631CBD">
        <w:rPr>
          <w:rFonts w:ascii="Arial" w:hAnsi="Arial" w:cs="Arial"/>
          <w:color w:val="000000"/>
          <w:sz w:val="22"/>
          <w:szCs w:val="22"/>
        </w:rPr>
        <w:tab/>
        <w:t>where the original purposes, in whole or in part—</w:t>
      </w:r>
    </w:p>
    <w:p w14:paraId="5C6204AA"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w:t>
      </w:r>
      <w:r w:rsidRPr="00631CBD">
        <w:rPr>
          <w:rFonts w:ascii="Arial" w:hAnsi="Arial" w:cs="Arial"/>
          <w:color w:val="000000"/>
          <w:sz w:val="22"/>
          <w:szCs w:val="22"/>
        </w:rPr>
        <w:tab/>
        <w:t>have been adequately provided for by other means; or</w:t>
      </w:r>
    </w:p>
    <w:p w14:paraId="3759CAAB"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(ii)</w:t>
      </w:r>
      <w:r w:rsidRPr="00631CBD">
        <w:rPr>
          <w:rFonts w:ascii="Arial" w:hAnsi="Arial" w:cs="Arial"/>
          <w:color w:val="000000"/>
          <w:sz w:val="22"/>
          <w:szCs w:val="22"/>
        </w:rPr>
        <w:tab/>
        <w:t>have ceased to be charitable purposes; or</w:t>
      </w:r>
    </w:p>
    <w:p w14:paraId="0AC0E4F5" w14:textId="77777777" w:rsidR="005A4823" w:rsidRPr="00631CBD" w:rsidRDefault="005A4823" w:rsidP="00631CBD">
      <w:pPr>
        <w:keepLines/>
        <w:tabs>
          <w:tab w:val="center" w:pos="1985"/>
          <w:tab w:val="left" w:pos="2382"/>
        </w:tabs>
        <w:autoSpaceDE w:val="0"/>
        <w:autoSpaceDN w:val="0"/>
        <w:adjustRightInd w:val="0"/>
        <w:spacing w:after="120" w:line="480" w:lineRule="auto"/>
        <w:ind w:left="3102" w:hanging="794"/>
        <w:rPr>
          <w:rFonts w:ascii="Arial" w:hAnsi="Arial" w:cs="Arial"/>
          <w:color w:val="000000"/>
          <w:sz w:val="22"/>
          <w:szCs w:val="22"/>
        </w:rPr>
      </w:pPr>
      <w:r w:rsidRPr="00631CBD">
        <w:rPr>
          <w:rFonts w:ascii="Arial" w:hAnsi="Arial" w:cs="Arial"/>
          <w:color w:val="000000"/>
          <w:sz w:val="22"/>
          <w:szCs w:val="22"/>
        </w:rPr>
        <w:tab/>
        <w:t>(iii)</w:t>
      </w:r>
      <w:r w:rsidRPr="00631CBD">
        <w:rPr>
          <w:rFonts w:ascii="Arial" w:hAnsi="Arial" w:cs="Arial"/>
          <w:color w:val="000000"/>
          <w:sz w:val="22"/>
          <w:szCs w:val="22"/>
        </w:rPr>
        <w:tab/>
        <w:t>have ceased to provide a suitable and effective method of using the trust property.</w:t>
      </w:r>
    </w:p>
    <w:p w14:paraId="251C2E86" w14:textId="77777777" w:rsidR="005A4823" w:rsidRPr="00631CBD" w:rsidRDefault="005A4823" w:rsidP="00631CBD">
      <w:pPr>
        <w:keepLines/>
        <w:tabs>
          <w:tab w:val="center" w:pos="397"/>
          <w:tab w:val="left" w:pos="794"/>
        </w:tabs>
        <w:autoSpaceDE w:val="0"/>
        <w:autoSpaceDN w:val="0"/>
        <w:adjustRightInd w:val="0"/>
        <w:spacing w:after="120" w:line="480" w:lineRule="auto"/>
        <w:ind w:left="1514" w:hanging="794"/>
        <w:rPr>
          <w:rFonts w:ascii="Arial" w:hAnsi="Arial" w:cs="Arial"/>
          <w:color w:val="000000"/>
          <w:sz w:val="22"/>
          <w:szCs w:val="22"/>
        </w:rPr>
      </w:pPr>
      <w:r w:rsidRPr="00631CBD">
        <w:rPr>
          <w:rFonts w:ascii="Arial" w:hAnsi="Arial" w:cs="Arial"/>
          <w:color w:val="000000"/>
          <w:sz w:val="22"/>
          <w:szCs w:val="22"/>
        </w:rPr>
        <w:tab/>
        <w:t>(2)</w:t>
      </w:r>
      <w:r w:rsidRPr="00631CBD">
        <w:rPr>
          <w:rFonts w:ascii="Arial" w:hAnsi="Arial" w:cs="Arial"/>
          <w:color w:val="000000"/>
          <w:sz w:val="22"/>
          <w:szCs w:val="22"/>
        </w:rPr>
        <w:tab/>
        <w:t>References in this section to the original purposes of a charitable trust shall be construed, where the purposes for which the trust property is required or permitted to be applied have been altered or regulated by a scheme or otherwise, as referring to the purposes for which the property is for the time being required or permitted to be applied.</w:t>
      </w:r>
    </w:p>
    <w:p w14:paraId="453181E7" w14:textId="77777777" w:rsidR="005A4823" w:rsidRPr="00631CBD" w:rsidRDefault="005A4823" w:rsidP="00631CBD">
      <w:pPr>
        <w:keepNext/>
        <w:keepLines/>
        <w:tabs>
          <w:tab w:val="center" w:pos="397"/>
          <w:tab w:val="left" w:pos="794"/>
        </w:tabs>
        <w:autoSpaceDE w:val="0"/>
        <w:autoSpaceDN w:val="0"/>
        <w:adjustRightInd w:val="0"/>
        <w:spacing w:after="120" w:line="480" w:lineRule="auto"/>
        <w:ind w:left="1514" w:hanging="794"/>
        <w:rPr>
          <w:rFonts w:ascii="Arial" w:hAnsi="Arial" w:cs="Arial"/>
          <w:color w:val="000000"/>
          <w:sz w:val="22"/>
          <w:szCs w:val="22"/>
        </w:rPr>
      </w:pPr>
      <w:r w:rsidRPr="00631CBD">
        <w:rPr>
          <w:rFonts w:ascii="Arial" w:hAnsi="Arial" w:cs="Arial"/>
          <w:color w:val="000000"/>
          <w:sz w:val="22"/>
          <w:szCs w:val="22"/>
        </w:rPr>
        <w:tab/>
        <w:t>(3)</w:t>
      </w:r>
      <w:r w:rsidRPr="00631CBD">
        <w:rPr>
          <w:rFonts w:ascii="Arial" w:hAnsi="Arial" w:cs="Arial"/>
          <w:color w:val="000000"/>
          <w:sz w:val="22"/>
          <w:szCs w:val="22"/>
        </w:rPr>
        <w:tab/>
        <w:t>A trust variation scheme may be approved, on the application of the trustee, by—</w:t>
      </w:r>
    </w:p>
    <w:p w14:paraId="17514FBD"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(a)</w:t>
      </w:r>
      <w:r w:rsidRPr="00631CBD">
        <w:rPr>
          <w:rFonts w:ascii="Arial" w:hAnsi="Arial" w:cs="Arial"/>
          <w:color w:val="000000"/>
          <w:sz w:val="22"/>
          <w:szCs w:val="22"/>
        </w:rPr>
        <w:tab/>
        <w:t>the Supreme Court; or</w:t>
      </w:r>
    </w:p>
    <w:p w14:paraId="256CD0D1"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(b)</w:t>
      </w:r>
      <w:r w:rsidRPr="00631CBD">
        <w:rPr>
          <w:rFonts w:ascii="Arial" w:hAnsi="Arial" w:cs="Arial"/>
          <w:color w:val="000000"/>
          <w:sz w:val="22"/>
          <w:szCs w:val="22"/>
        </w:rPr>
        <w:tab/>
        <w:t>if the value of the trust property does not exceed $300 000 or another limit prescribed by regulation—the Attorney-General.</w:t>
      </w:r>
    </w:p>
    <w:p w14:paraId="5A939C85" w14:textId="77777777" w:rsidR="005A4823" w:rsidRPr="00631CBD" w:rsidRDefault="005A4823" w:rsidP="00631CBD">
      <w:pPr>
        <w:keepLines/>
        <w:tabs>
          <w:tab w:val="center" w:pos="397"/>
          <w:tab w:val="left" w:pos="794"/>
        </w:tabs>
        <w:autoSpaceDE w:val="0"/>
        <w:autoSpaceDN w:val="0"/>
        <w:adjustRightInd w:val="0"/>
        <w:spacing w:after="120" w:line="480" w:lineRule="auto"/>
        <w:ind w:left="1514" w:hanging="794"/>
        <w:rPr>
          <w:rFonts w:ascii="Arial" w:hAnsi="Arial" w:cs="Arial"/>
          <w:color w:val="000000"/>
          <w:sz w:val="22"/>
          <w:szCs w:val="22"/>
        </w:rPr>
      </w:pPr>
      <w:r w:rsidRPr="00631CBD">
        <w:rPr>
          <w:rFonts w:ascii="Arial" w:hAnsi="Arial" w:cs="Arial"/>
          <w:color w:val="000000"/>
          <w:sz w:val="22"/>
          <w:szCs w:val="22"/>
        </w:rPr>
        <w:tab/>
        <w:t>(3a)</w:t>
      </w:r>
      <w:r w:rsidRPr="00631CBD">
        <w:rPr>
          <w:rFonts w:ascii="Arial" w:hAnsi="Arial" w:cs="Arial"/>
          <w:color w:val="000000"/>
          <w:sz w:val="22"/>
          <w:szCs w:val="22"/>
        </w:rPr>
        <w:tab/>
        <w:t xml:space="preserve">The authority to which the application is made (ie the Supreme Court or the Attorney-General) is referred to in this section as the </w:t>
      </w:r>
      <w:r w:rsidRPr="00631CBD">
        <w:rPr>
          <w:rFonts w:ascii="Arial" w:hAnsi="Arial" w:cs="Arial"/>
          <w:bCs/>
          <w:i/>
          <w:iCs/>
          <w:color w:val="000000"/>
          <w:sz w:val="22"/>
          <w:szCs w:val="22"/>
        </w:rPr>
        <w:t>relevant authority</w:t>
      </w:r>
      <w:r w:rsidRPr="00631CBD">
        <w:rPr>
          <w:rFonts w:ascii="Arial" w:hAnsi="Arial" w:cs="Arial"/>
          <w:color w:val="000000"/>
          <w:sz w:val="22"/>
          <w:szCs w:val="22"/>
        </w:rPr>
        <w:t>.</w:t>
      </w:r>
    </w:p>
    <w:p w14:paraId="6BE875CD" w14:textId="77777777" w:rsidR="005A4823" w:rsidRPr="00631CBD" w:rsidRDefault="005A4823" w:rsidP="00631CBD">
      <w:pPr>
        <w:keepLines/>
        <w:tabs>
          <w:tab w:val="center" w:pos="397"/>
          <w:tab w:val="left" w:pos="794"/>
        </w:tabs>
        <w:autoSpaceDE w:val="0"/>
        <w:autoSpaceDN w:val="0"/>
        <w:adjustRightInd w:val="0"/>
        <w:spacing w:after="120" w:line="480" w:lineRule="auto"/>
        <w:ind w:left="1514" w:hanging="794"/>
        <w:rPr>
          <w:rFonts w:ascii="Arial" w:hAnsi="Arial" w:cs="Arial"/>
          <w:color w:val="000000"/>
          <w:sz w:val="22"/>
          <w:szCs w:val="22"/>
        </w:rPr>
      </w:pPr>
      <w:r w:rsidRPr="00631CBD">
        <w:rPr>
          <w:rFonts w:ascii="Arial" w:hAnsi="Arial" w:cs="Arial"/>
          <w:color w:val="000000"/>
          <w:sz w:val="22"/>
          <w:szCs w:val="22"/>
        </w:rPr>
        <w:t>…</w:t>
      </w:r>
    </w:p>
    <w:p w14:paraId="4FFC315B" w14:textId="77777777" w:rsidR="005A4823" w:rsidRPr="00631CBD" w:rsidRDefault="005A4823" w:rsidP="00631CBD">
      <w:pPr>
        <w:keepNext/>
        <w:keepLines/>
        <w:tabs>
          <w:tab w:val="center" w:pos="397"/>
          <w:tab w:val="left" w:pos="794"/>
        </w:tabs>
        <w:autoSpaceDE w:val="0"/>
        <w:autoSpaceDN w:val="0"/>
        <w:adjustRightInd w:val="0"/>
        <w:spacing w:after="120" w:line="480" w:lineRule="auto"/>
        <w:ind w:left="1514" w:hanging="794"/>
        <w:rPr>
          <w:rFonts w:ascii="Arial" w:hAnsi="Arial" w:cs="Arial"/>
          <w:color w:val="000000"/>
          <w:sz w:val="22"/>
          <w:szCs w:val="22"/>
        </w:rPr>
      </w:pPr>
      <w:r w:rsidRPr="00631CBD">
        <w:rPr>
          <w:rFonts w:ascii="Arial" w:hAnsi="Arial" w:cs="Arial"/>
          <w:color w:val="000000"/>
          <w:sz w:val="22"/>
          <w:szCs w:val="22"/>
        </w:rPr>
        <w:lastRenderedPageBreak/>
        <w:tab/>
        <w:t>(6)</w:t>
      </w:r>
      <w:r w:rsidRPr="00631CBD">
        <w:rPr>
          <w:rFonts w:ascii="Arial" w:hAnsi="Arial" w:cs="Arial"/>
          <w:color w:val="000000"/>
          <w:sz w:val="22"/>
          <w:szCs w:val="22"/>
        </w:rPr>
        <w:tab/>
        <w:t>If the relevant authority is satisfied, on application under this section, that the variation of the terms of a trust proposed in a trust variation scheme—</w:t>
      </w:r>
    </w:p>
    <w:p w14:paraId="18FE61E1"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(a)</w:t>
      </w:r>
      <w:r w:rsidRPr="00631CBD">
        <w:rPr>
          <w:rFonts w:ascii="Arial" w:hAnsi="Arial" w:cs="Arial"/>
          <w:color w:val="000000"/>
          <w:sz w:val="22"/>
          <w:szCs w:val="22"/>
        </w:rPr>
        <w:tab/>
        <w:t>accords, as far as reasonably practicable, with the spirit of the trust; and</w:t>
      </w:r>
    </w:p>
    <w:p w14:paraId="71FDA4D7" w14:textId="77777777" w:rsidR="005A4823" w:rsidRPr="00631CBD" w:rsidRDefault="005A4823" w:rsidP="00631CBD">
      <w:pPr>
        <w:keepLines/>
        <w:tabs>
          <w:tab w:val="center" w:pos="1191"/>
          <w:tab w:val="left" w:pos="1588"/>
        </w:tabs>
        <w:autoSpaceDE w:val="0"/>
        <w:autoSpaceDN w:val="0"/>
        <w:adjustRightInd w:val="0"/>
        <w:spacing w:after="120" w:line="480" w:lineRule="auto"/>
        <w:ind w:left="2308" w:hanging="794"/>
        <w:rPr>
          <w:rFonts w:ascii="Arial" w:hAnsi="Arial" w:cs="Arial"/>
          <w:color w:val="000000"/>
          <w:sz w:val="22"/>
          <w:szCs w:val="22"/>
        </w:rPr>
      </w:pPr>
      <w:r w:rsidRPr="00631CBD">
        <w:rPr>
          <w:rFonts w:ascii="Arial" w:hAnsi="Arial" w:cs="Arial"/>
          <w:color w:val="000000"/>
          <w:sz w:val="22"/>
          <w:szCs w:val="22"/>
        </w:rPr>
        <w:tab/>
        <w:t>(b)</w:t>
      </w:r>
      <w:r w:rsidRPr="00631CBD">
        <w:rPr>
          <w:rFonts w:ascii="Arial" w:hAnsi="Arial" w:cs="Arial"/>
          <w:color w:val="000000"/>
          <w:sz w:val="22"/>
          <w:szCs w:val="22"/>
        </w:rPr>
        <w:tab/>
        <w:t>is justified in the circumstances of the particular case,</w:t>
      </w:r>
    </w:p>
    <w:p w14:paraId="2AA9BD79" w14:textId="77777777" w:rsidR="005A4823" w:rsidRPr="00631CBD" w:rsidRDefault="005A4823" w:rsidP="00631CBD">
      <w:pPr>
        <w:keepLines/>
        <w:autoSpaceDE w:val="0"/>
        <w:autoSpaceDN w:val="0"/>
        <w:adjustRightInd w:val="0"/>
        <w:spacing w:after="120" w:line="480" w:lineRule="auto"/>
        <w:ind w:left="1514"/>
        <w:rPr>
          <w:rFonts w:ascii="Arial" w:hAnsi="Arial" w:cs="Arial"/>
          <w:color w:val="000000"/>
          <w:sz w:val="22"/>
          <w:szCs w:val="22"/>
        </w:rPr>
      </w:pPr>
      <w:r w:rsidRPr="00631CBD">
        <w:rPr>
          <w:rFonts w:ascii="Arial" w:hAnsi="Arial" w:cs="Arial"/>
          <w:color w:val="000000"/>
          <w:sz w:val="22"/>
          <w:szCs w:val="22"/>
        </w:rPr>
        <w:t>the relevant authority may approve the trust variation scheme and the approved scheme prevails over inconsistent provisions of a relevant instrument or declaration of trust.</w:t>
      </w:r>
    </w:p>
    <w:p w14:paraId="4CD69E0D" w14:textId="77777777" w:rsidR="005A4823" w:rsidRPr="00631CBD" w:rsidRDefault="005A4823" w:rsidP="00631CBD">
      <w:pPr>
        <w:keepLines/>
        <w:tabs>
          <w:tab w:val="center" w:pos="397"/>
          <w:tab w:val="left" w:pos="794"/>
        </w:tabs>
        <w:autoSpaceDE w:val="0"/>
        <w:autoSpaceDN w:val="0"/>
        <w:adjustRightInd w:val="0"/>
        <w:spacing w:after="120" w:line="480" w:lineRule="auto"/>
        <w:ind w:left="1514" w:hanging="794"/>
        <w:rPr>
          <w:rFonts w:ascii="Arial" w:hAnsi="Arial" w:cs="Arial"/>
          <w:color w:val="000000"/>
          <w:sz w:val="22"/>
          <w:szCs w:val="22"/>
        </w:rPr>
      </w:pPr>
      <w:r w:rsidRPr="00631CBD">
        <w:rPr>
          <w:rFonts w:ascii="Arial" w:hAnsi="Arial" w:cs="Arial"/>
          <w:color w:val="000000"/>
          <w:sz w:val="22"/>
          <w:szCs w:val="22"/>
        </w:rPr>
        <w:tab/>
        <w:t>(7)</w:t>
      </w:r>
      <w:r w:rsidRPr="00631CBD">
        <w:rPr>
          <w:rFonts w:ascii="Arial" w:hAnsi="Arial" w:cs="Arial"/>
          <w:color w:val="000000"/>
          <w:sz w:val="22"/>
          <w:szCs w:val="22"/>
        </w:rPr>
        <w:tab/>
        <w:t>The reasonable costs of an application under this section are payable at the direction of the relevant authority from the trust property.</w:t>
      </w:r>
    </w:p>
    <w:p w14:paraId="607A436B" w14:textId="77777777" w:rsidR="005A4823" w:rsidRPr="00631CBD" w:rsidRDefault="005A4823" w:rsidP="00631CBD">
      <w:pPr>
        <w:keepLines/>
        <w:tabs>
          <w:tab w:val="center" w:pos="397"/>
          <w:tab w:val="left" w:pos="794"/>
        </w:tabs>
        <w:autoSpaceDE w:val="0"/>
        <w:autoSpaceDN w:val="0"/>
        <w:adjustRightInd w:val="0"/>
        <w:spacing w:after="120" w:line="480" w:lineRule="auto"/>
        <w:ind w:left="1512" w:hanging="792"/>
        <w:rPr>
          <w:rFonts w:ascii="Arial" w:hAnsi="Arial" w:cs="Arial"/>
          <w:color w:val="000000"/>
          <w:sz w:val="22"/>
          <w:szCs w:val="22"/>
        </w:rPr>
      </w:pPr>
      <w:r w:rsidRPr="00631CBD">
        <w:rPr>
          <w:rFonts w:ascii="Arial" w:hAnsi="Arial" w:cs="Arial"/>
          <w:color w:val="000000"/>
          <w:sz w:val="22"/>
          <w:szCs w:val="22"/>
        </w:rPr>
        <w:tab/>
        <w:t>…</w:t>
      </w:r>
      <w:r w:rsidR="00AC7DA5" w:rsidRPr="00631CBD">
        <w:rPr>
          <w:rFonts w:ascii="Arial" w:hAnsi="Arial" w:cs="Arial"/>
          <w:color w:val="000000"/>
          <w:sz w:val="22"/>
          <w:szCs w:val="22"/>
        </w:rPr>
        <w:t>”</w:t>
      </w:r>
    </w:p>
    <w:p w14:paraId="4D7952E3" w14:textId="77777777" w:rsidR="005A4823" w:rsidRPr="00631CBD" w:rsidRDefault="00D85D61" w:rsidP="00631CBD">
      <w:pPr>
        <w:spacing w:after="120" w:line="480" w:lineRule="auto"/>
        <w:rPr>
          <w:rFonts w:ascii="Arial" w:hAnsi="Arial" w:cs="Arial"/>
          <w:sz w:val="22"/>
          <w:szCs w:val="22"/>
        </w:rPr>
      </w:pPr>
      <w:r w:rsidRPr="00631CBD">
        <w:rPr>
          <w:rFonts w:ascii="Arial" w:hAnsi="Arial" w:cs="Arial"/>
          <w:sz w:val="22"/>
          <w:szCs w:val="22"/>
        </w:rPr>
        <w:t>The general equitable jurisdiction is, however, not displaced, as the specific matters set out in s 69B(1)(a) to (e) are not exhaustive.  Nonetheless, the statutory grounds are very broad;  consequently, there is little benefit in relying upon the general law.</w:t>
      </w:r>
      <w:r w:rsidRPr="00631CBD">
        <w:rPr>
          <w:rStyle w:val="FootnoteReference"/>
          <w:rFonts w:ascii="Arial" w:hAnsi="Arial" w:cs="Arial"/>
          <w:sz w:val="22"/>
          <w:szCs w:val="22"/>
        </w:rPr>
        <w:footnoteReference w:id="57"/>
      </w:r>
      <w:r w:rsidRPr="00631CBD">
        <w:rPr>
          <w:rFonts w:ascii="Arial" w:hAnsi="Arial" w:cs="Arial"/>
          <w:sz w:val="22"/>
          <w:szCs w:val="22"/>
        </w:rPr>
        <w:t xml:space="preserve">  Nevertheless, under both the general law and these statutory provisions, neither expediency, nor the fact that the trust funds could be applied for a purpose more beneficial to the community is a sufficient basis for a </w:t>
      </w:r>
      <w:r w:rsidRPr="00631CBD">
        <w:rPr>
          <w:rFonts w:ascii="Arial" w:hAnsi="Arial" w:cs="Arial"/>
          <w:i/>
          <w:sz w:val="22"/>
          <w:szCs w:val="22"/>
        </w:rPr>
        <w:t>cy-près</w:t>
      </w:r>
      <w:r w:rsidRPr="00631CBD">
        <w:rPr>
          <w:rFonts w:ascii="Arial" w:hAnsi="Arial" w:cs="Arial"/>
          <w:sz w:val="22"/>
          <w:szCs w:val="22"/>
        </w:rPr>
        <w:t xml:space="preserve"> scheme</w:t>
      </w:r>
      <w:r w:rsidR="00D00291" w:rsidRPr="00631CBD">
        <w:rPr>
          <w:rFonts w:ascii="Arial" w:hAnsi="Arial" w:cs="Arial"/>
          <w:sz w:val="22"/>
          <w:szCs w:val="22"/>
        </w:rPr>
        <w:t>.</w:t>
      </w:r>
      <w:r w:rsidR="00D00291" w:rsidRPr="00631CBD">
        <w:rPr>
          <w:rStyle w:val="FootnoteReference"/>
          <w:rFonts w:ascii="Arial" w:hAnsi="Arial" w:cs="Arial"/>
          <w:sz w:val="22"/>
          <w:szCs w:val="22"/>
        </w:rPr>
        <w:footnoteReference w:id="58"/>
      </w:r>
      <w:r w:rsidR="00D00291" w:rsidRPr="00631CBD">
        <w:rPr>
          <w:rFonts w:ascii="Arial" w:hAnsi="Arial" w:cs="Arial"/>
          <w:sz w:val="22"/>
          <w:szCs w:val="22"/>
        </w:rPr>
        <w:t xml:space="preserve">  </w:t>
      </w:r>
    </w:p>
    <w:p w14:paraId="426DA156" w14:textId="77777777" w:rsidR="00D00291" w:rsidRPr="00631CBD" w:rsidRDefault="00D00291" w:rsidP="00631CBD">
      <w:pPr>
        <w:autoSpaceDE w:val="0"/>
        <w:autoSpaceDN w:val="0"/>
        <w:adjustRightInd w:val="0"/>
        <w:spacing w:after="360" w:line="480" w:lineRule="auto"/>
        <w:rPr>
          <w:rFonts w:ascii="Arial" w:hAnsi="Arial" w:cs="Arial"/>
          <w:color w:val="000000"/>
          <w:sz w:val="22"/>
          <w:szCs w:val="22"/>
        </w:rPr>
      </w:pPr>
      <w:r w:rsidRPr="00631CBD">
        <w:rPr>
          <w:rFonts w:ascii="Arial" w:hAnsi="Arial" w:cs="Arial"/>
          <w:color w:val="000000"/>
          <w:sz w:val="22"/>
          <w:szCs w:val="22"/>
        </w:rPr>
        <w:t>Having regard</w:t>
      </w:r>
      <w:r w:rsidR="009D5BF3" w:rsidRPr="00631CBD">
        <w:rPr>
          <w:rFonts w:ascii="Arial" w:hAnsi="Arial" w:cs="Arial"/>
          <w:color w:val="000000"/>
          <w:sz w:val="22"/>
          <w:szCs w:val="22"/>
        </w:rPr>
        <w:t xml:space="preserve"> to the definition of “Residual B</w:t>
      </w:r>
      <w:r w:rsidRPr="00631CBD">
        <w:rPr>
          <w:rFonts w:ascii="Arial" w:hAnsi="Arial" w:cs="Arial"/>
          <w:color w:val="000000"/>
          <w:sz w:val="22"/>
          <w:szCs w:val="22"/>
        </w:rPr>
        <w:t xml:space="preserve">eneficiaries” in the trust deed the subject of </w:t>
      </w:r>
      <w:r w:rsidRPr="00631CBD">
        <w:rPr>
          <w:rFonts w:ascii="Arial" w:hAnsi="Arial" w:cs="Arial"/>
          <w:i/>
          <w:color w:val="000000"/>
          <w:sz w:val="22"/>
          <w:szCs w:val="22"/>
        </w:rPr>
        <w:t>Babcock</w:t>
      </w:r>
      <w:r w:rsidRPr="00631CBD">
        <w:rPr>
          <w:rFonts w:ascii="Arial" w:hAnsi="Arial" w:cs="Arial"/>
          <w:color w:val="000000"/>
          <w:sz w:val="22"/>
          <w:szCs w:val="22"/>
        </w:rPr>
        <w:t xml:space="preserve">, it was not necessary to resort to a </w:t>
      </w:r>
      <w:r w:rsidRPr="00631CBD">
        <w:rPr>
          <w:rFonts w:ascii="Arial" w:hAnsi="Arial" w:cs="Arial"/>
          <w:i/>
          <w:sz w:val="22"/>
          <w:szCs w:val="22"/>
        </w:rPr>
        <w:t>cy-près</w:t>
      </w:r>
      <w:r w:rsidRPr="00631CBD">
        <w:rPr>
          <w:rFonts w:ascii="Arial" w:hAnsi="Arial" w:cs="Arial"/>
          <w:sz w:val="22"/>
          <w:szCs w:val="22"/>
        </w:rPr>
        <w:t xml:space="preserve"> scheme</w:t>
      </w:r>
      <w:r w:rsidRPr="00631CBD">
        <w:rPr>
          <w:rFonts w:ascii="Arial" w:hAnsi="Arial" w:cs="Arial"/>
          <w:color w:val="000000"/>
          <w:sz w:val="22"/>
          <w:szCs w:val="22"/>
        </w:rPr>
        <w:t xml:space="preserve">.  Nevertheless, there may be circumstances, arising out of the provisions of a trust deed or instrument in a “mixed” </w:t>
      </w:r>
      <w:r w:rsidRPr="00631CBD">
        <w:rPr>
          <w:rFonts w:ascii="Arial" w:hAnsi="Arial" w:cs="Arial"/>
          <w:color w:val="000000"/>
          <w:sz w:val="22"/>
          <w:szCs w:val="22"/>
        </w:rPr>
        <w:lastRenderedPageBreak/>
        <w:t xml:space="preserve">commercial purpose and charitable trust where the provisions for charity are specific, rather than the subject of a general discretion.  Where more specific provisions of this nature “fail” in the sense described above, a </w:t>
      </w:r>
      <w:r w:rsidRPr="00631CBD">
        <w:rPr>
          <w:rFonts w:ascii="Arial" w:hAnsi="Arial" w:cs="Arial"/>
          <w:i/>
          <w:sz w:val="22"/>
          <w:szCs w:val="22"/>
        </w:rPr>
        <w:t>cy-près</w:t>
      </w:r>
      <w:r w:rsidRPr="00631CBD">
        <w:rPr>
          <w:rFonts w:ascii="Arial" w:hAnsi="Arial" w:cs="Arial"/>
          <w:sz w:val="22"/>
          <w:szCs w:val="22"/>
        </w:rPr>
        <w:t xml:space="preserve"> scheme</w:t>
      </w:r>
      <w:r w:rsidR="009D5BF3" w:rsidRPr="00631CBD">
        <w:rPr>
          <w:rFonts w:ascii="Arial" w:hAnsi="Arial" w:cs="Arial"/>
          <w:sz w:val="22"/>
          <w:szCs w:val="22"/>
        </w:rPr>
        <w:t xml:space="preserve"> may be appropriate; but always provided there is a clear intention to benefit charity, a generable charitable intent.</w:t>
      </w:r>
      <w:r w:rsidR="009D5BF3" w:rsidRPr="00631CBD">
        <w:rPr>
          <w:rStyle w:val="FootnoteReference"/>
          <w:rFonts w:ascii="Arial" w:hAnsi="Arial" w:cs="Arial"/>
          <w:sz w:val="22"/>
          <w:szCs w:val="22"/>
        </w:rPr>
        <w:footnoteReference w:id="59"/>
      </w:r>
    </w:p>
    <w:p w14:paraId="02D3360A" w14:textId="77777777" w:rsidR="00EB5174" w:rsidRPr="00631CBD" w:rsidRDefault="004B0C34" w:rsidP="00631CBD">
      <w:pPr>
        <w:pStyle w:val="Heading2"/>
        <w:spacing w:line="480" w:lineRule="auto"/>
        <w:rPr>
          <w:rFonts w:ascii="Arial" w:hAnsi="Arial" w:cs="Arial"/>
          <w:sz w:val="22"/>
          <w:szCs w:val="22"/>
        </w:rPr>
      </w:pPr>
      <w:bookmarkStart w:id="18" w:name="_Toc285803289"/>
      <w:r w:rsidRPr="00631CBD">
        <w:rPr>
          <w:rFonts w:ascii="Arial" w:hAnsi="Arial" w:cs="Arial"/>
          <w:sz w:val="22"/>
          <w:szCs w:val="22"/>
        </w:rPr>
        <w:t>Conclusion</w:t>
      </w:r>
      <w:bookmarkEnd w:id="18"/>
    </w:p>
    <w:p w14:paraId="7BCCD048" w14:textId="77777777" w:rsidR="00625BA3" w:rsidRPr="00631CBD" w:rsidRDefault="00625BA3" w:rsidP="00631CBD">
      <w:pPr>
        <w:spacing w:after="360" w:line="480" w:lineRule="auto"/>
        <w:rPr>
          <w:rFonts w:ascii="Arial" w:hAnsi="Arial" w:cs="Arial"/>
          <w:sz w:val="22"/>
          <w:szCs w:val="22"/>
        </w:rPr>
      </w:pPr>
      <w:r w:rsidRPr="00631CBD">
        <w:rPr>
          <w:rFonts w:ascii="Arial" w:hAnsi="Arial" w:cs="Arial"/>
          <w:sz w:val="22"/>
          <w:szCs w:val="22"/>
        </w:rPr>
        <w:t xml:space="preserve">The device of specifying charitable bodies as </w:t>
      </w:r>
      <w:r w:rsidR="00054FDB" w:rsidRPr="00631CBD">
        <w:rPr>
          <w:rFonts w:ascii="Arial" w:hAnsi="Arial" w:cs="Arial"/>
          <w:sz w:val="22"/>
          <w:szCs w:val="22"/>
        </w:rPr>
        <w:t>potential</w:t>
      </w:r>
      <w:r w:rsidRPr="00631CBD">
        <w:rPr>
          <w:rFonts w:ascii="Arial" w:hAnsi="Arial" w:cs="Arial"/>
          <w:sz w:val="22"/>
          <w:szCs w:val="22"/>
        </w:rPr>
        <w:t xml:space="preserve"> beneficiaries is a useful one in trusts law</w:t>
      </w:r>
      <w:r w:rsidR="00054FDB" w:rsidRPr="00631CBD">
        <w:rPr>
          <w:rFonts w:ascii="Arial" w:hAnsi="Arial" w:cs="Arial"/>
          <w:sz w:val="22"/>
          <w:szCs w:val="22"/>
        </w:rPr>
        <w:t xml:space="preserve"> to ensure continuity of the trust.  Its use, however, requires particular attention to the broader purpose sought to be achieved and </w:t>
      </w:r>
      <w:r w:rsidRPr="00631CBD">
        <w:rPr>
          <w:rFonts w:ascii="Arial" w:hAnsi="Arial" w:cs="Arial"/>
          <w:sz w:val="22"/>
          <w:szCs w:val="22"/>
        </w:rPr>
        <w:t xml:space="preserve">careful, detailed, and comprehensive drafting of clauses in trust </w:t>
      </w:r>
      <w:r w:rsidR="00054FDB" w:rsidRPr="00631CBD">
        <w:rPr>
          <w:rFonts w:ascii="Arial" w:hAnsi="Arial" w:cs="Arial"/>
          <w:sz w:val="22"/>
          <w:szCs w:val="22"/>
        </w:rPr>
        <w:t xml:space="preserve">deeds or </w:t>
      </w:r>
      <w:r w:rsidRPr="00631CBD">
        <w:rPr>
          <w:rFonts w:ascii="Arial" w:hAnsi="Arial" w:cs="Arial"/>
          <w:sz w:val="22"/>
          <w:szCs w:val="22"/>
        </w:rPr>
        <w:t>instruments.</w:t>
      </w:r>
      <w:r w:rsidR="00F75B1E" w:rsidRPr="00631CBD">
        <w:rPr>
          <w:rFonts w:ascii="Arial" w:hAnsi="Arial" w:cs="Arial"/>
          <w:sz w:val="22"/>
          <w:szCs w:val="22"/>
        </w:rPr>
        <w:t xml:space="preserve"> </w:t>
      </w:r>
      <w:r w:rsidRPr="00631CBD">
        <w:rPr>
          <w:rFonts w:ascii="Arial" w:hAnsi="Arial" w:cs="Arial"/>
          <w:sz w:val="22"/>
          <w:szCs w:val="22"/>
        </w:rPr>
        <w:t xml:space="preserve"> </w:t>
      </w:r>
      <w:r w:rsidR="00A065B8" w:rsidRPr="00631CBD">
        <w:rPr>
          <w:rFonts w:ascii="Arial" w:hAnsi="Arial" w:cs="Arial"/>
          <w:sz w:val="22"/>
          <w:szCs w:val="22"/>
        </w:rPr>
        <w:t>D</w:t>
      </w:r>
      <w:r w:rsidRPr="00631CBD">
        <w:rPr>
          <w:rFonts w:ascii="Arial" w:hAnsi="Arial" w:cs="Arial"/>
          <w:sz w:val="22"/>
          <w:szCs w:val="22"/>
        </w:rPr>
        <w:t>rafters should ensure that</w:t>
      </w:r>
      <w:r w:rsidR="004B0C34" w:rsidRPr="00631CBD">
        <w:rPr>
          <w:rFonts w:ascii="Arial" w:hAnsi="Arial" w:cs="Arial"/>
          <w:sz w:val="22"/>
          <w:szCs w:val="22"/>
        </w:rPr>
        <w:t xml:space="preserve"> the settlor’</w:t>
      </w:r>
      <w:r w:rsidRPr="00631CBD">
        <w:rPr>
          <w:rFonts w:ascii="Arial" w:hAnsi="Arial" w:cs="Arial"/>
          <w:sz w:val="22"/>
          <w:szCs w:val="22"/>
        </w:rPr>
        <w:t xml:space="preserve">s intention is clearly expressed, and the </w:t>
      </w:r>
      <w:r w:rsidR="00054FDB" w:rsidRPr="00631CBD">
        <w:rPr>
          <w:rFonts w:ascii="Arial" w:hAnsi="Arial" w:cs="Arial"/>
          <w:sz w:val="22"/>
          <w:szCs w:val="22"/>
        </w:rPr>
        <w:t xml:space="preserve">commercial </w:t>
      </w:r>
      <w:r w:rsidRPr="00631CBD">
        <w:rPr>
          <w:rFonts w:ascii="Arial" w:hAnsi="Arial" w:cs="Arial"/>
          <w:sz w:val="22"/>
          <w:szCs w:val="22"/>
        </w:rPr>
        <w:t xml:space="preserve">purpose </w:t>
      </w:r>
      <w:r w:rsidR="00054FDB" w:rsidRPr="00631CBD">
        <w:rPr>
          <w:rFonts w:ascii="Arial" w:hAnsi="Arial" w:cs="Arial"/>
          <w:sz w:val="22"/>
          <w:szCs w:val="22"/>
        </w:rPr>
        <w:t xml:space="preserve">and any other purposes </w:t>
      </w:r>
      <w:r w:rsidRPr="00631CBD">
        <w:rPr>
          <w:rFonts w:ascii="Arial" w:hAnsi="Arial" w:cs="Arial"/>
          <w:sz w:val="22"/>
          <w:szCs w:val="22"/>
        </w:rPr>
        <w:t>of the trust</w:t>
      </w:r>
      <w:r w:rsidR="0018391C" w:rsidRPr="00631CBD">
        <w:rPr>
          <w:rFonts w:ascii="Arial" w:hAnsi="Arial" w:cs="Arial"/>
          <w:sz w:val="22"/>
          <w:szCs w:val="22"/>
        </w:rPr>
        <w:t xml:space="preserve"> are</w:t>
      </w:r>
      <w:r w:rsidRPr="00631CBD">
        <w:rPr>
          <w:rFonts w:ascii="Arial" w:hAnsi="Arial" w:cs="Arial"/>
          <w:sz w:val="22"/>
          <w:szCs w:val="22"/>
        </w:rPr>
        <w:t xml:space="preserve"> fully </w:t>
      </w:r>
      <w:r w:rsidR="00F75B1E" w:rsidRPr="00631CBD">
        <w:rPr>
          <w:rFonts w:ascii="Arial" w:hAnsi="Arial" w:cs="Arial"/>
          <w:sz w:val="22"/>
          <w:szCs w:val="22"/>
        </w:rPr>
        <w:t>and clearly expressed</w:t>
      </w:r>
      <w:r w:rsidRPr="00631CBD">
        <w:rPr>
          <w:rFonts w:ascii="Arial" w:hAnsi="Arial" w:cs="Arial"/>
          <w:sz w:val="22"/>
          <w:szCs w:val="22"/>
        </w:rPr>
        <w:t xml:space="preserve">. </w:t>
      </w:r>
      <w:r w:rsidR="00F75B1E" w:rsidRPr="00631CBD">
        <w:rPr>
          <w:rFonts w:ascii="Arial" w:hAnsi="Arial" w:cs="Arial"/>
          <w:sz w:val="22"/>
          <w:szCs w:val="22"/>
        </w:rPr>
        <w:t xml:space="preserve"> </w:t>
      </w:r>
      <w:r w:rsidR="004B0C34" w:rsidRPr="00631CBD">
        <w:rPr>
          <w:rFonts w:ascii="Arial" w:hAnsi="Arial" w:cs="Arial"/>
          <w:sz w:val="22"/>
          <w:szCs w:val="22"/>
        </w:rPr>
        <w:t>Where provision has been made for</w:t>
      </w:r>
      <w:r w:rsidRPr="00631CBD">
        <w:rPr>
          <w:rFonts w:ascii="Arial" w:hAnsi="Arial" w:cs="Arial"/>
          <w:sz w:val="22"/>
          <w:szCs w:val="22"/>
        </w:rPr>
        <w:t xml:space="preserve"> termination in the event of the </w:t>
      </w:r>
      <w:r w:rsidR="00054FDB" w:rsidRPr="00631CBD">
        <w:rPr>
          <w:rFonts w:ascii="Arial" w:hAnsi="Arial" w:cs="Arial"/>
          <w:sz w:val="22"/>
          <w:szCs w:val="22"/>
        </w:rPr>
        <w:t xml:space="preserve">commercial </w:t>
      </w:r>
      <w:r w:rsidRPr="00631CBD">
        <w:rPr>
          <w:rFonts w:ascii="Arial" w:hAnsi="Arial" w:cs="Arial"/>
          <w:sz w:val="22"/>
          <w:szCs w:val="22"/>
        </w:rPr>
        <w:t xml:space="preserve">purpose of the trust failing, trust property </w:t>
      </w:r>
      <w:r w:rsidR="00F75B1E" w:rsidRPr="00631CBD">
        <w:rPr>
          <w:rFonts w:ascii="Arial" w:hAnsi="Arial" w:cs="Arial"/>
          <w:sz w:val="22"/>
          <w:szCs w:val="22"/>
        </w:rPr>
        <w:t>may</w:t>
      </w:r>
      <w:r w:rsidRPr="00631CBD">
        <w:rPr>
          <w:rFonts w:ascii="Arial" w:hAnsi="Arial" w:cs="Arial"/>
          <w:sz w:val="22"/>
          <w:szCs w:val="22"/>
        </w:rPr>
        <w:t xml:space="preserve"> be distributed</w:t>
      </w:r>
      <w:r w:rsidR="004B0C34" w:rsidRPr="00631CBD">
        <w:rPr>
          <w:rFonts w:ascii="Arial" w:hAnsi="Arial" w:cs="Arial"/>
          <w:sz w:val="22"/>
          <w:szCs w:val="22"/>
        </w:rPr>
        <w:t xml:space="preserve"> </w:t>
      </w:r>
      <w:r w:rsidRPr="00631CBD">
        <w:rPr>
          <w:rFonts w:ascii="Arial" w:hAnsi="Arial" w:cs="Arial"/>
          <w:sz w:val="22"/>
          <w:szCs w:val="22"/>
        </w:rPr>
        <w:t>according to some residual or fall-back mechanism.</w:t>
      </w:r>
      <w:r w:rsidR="00F75B1E" w:rsidRPr="00631CBD">
        <w:rPr>
          <w:rFonts w:ascii="Arial" w:hAnsi="Arial" w:cs="Arial"/>
          <w:sz w:val="22"/>
          <w:szCs w:val="22"/>
        </w:rPr>
        <w:t xml:space="preserve"> </w:t>
      </w:r>
      <w:r w:rsidR="004B0C34" w:rsidRPr="00631CBD">
        <w:rPr>
          <w:rFonts w:ascii="Arial" w:hAnsi="Arial" w:cs="Arial"/>
          <w:sz w:val="22"/>
          <w:szCs w:val="22"/>
        </w:rPr>
        <w:t xml:space="preserve"> </w:t>
      </w:r>
      <w:r w:rsidRPr="00631CBD">
        <w:rPr>
          <w:rFonts w:ascii="Arial" w:hAnsi="Arial" w:cs="Arial"/>
          <w:sz w:val="22"/>
          <w:szCs w:val="22"/>
        </w:rPr>
        <w:t xml:space="preserve">This may </w:t>
      </w:r>
      <w:r w:rsidR="00F75B1E" w:rsidRPr="00631CBD">
        <w:rPr>
          <w:rFonts w:ascii="Arial" w:hAnsi="Arial" w:cs="Arial"/>
          <w:sz w:val="22"/>
          <w:szCs w:val="22"/>
        </w:rPr>
        <w:t xml:space="preserve">involve the </w:t>
      </w:r>
      <w:r w:rsidR="00054FDB" w:rsidRPr="00631CBD">
        <w:rPr>
          <w:rFonts w:ascii="Arial" w:hAnsi="Arial" w:cs="Arial"/>
          <w:sz w:val="22"/>
          <w:szCs w:val="22"/>
        </w:rPr>
        <w:t xml:space="preserve">trust </w:t>
      </w:r>
      <w:r w:rsidR="00F75B1E" w:rsidRPr="00631CBD">
        <w:rPr>
          <w:rFonts w:ascii="Arial" w:hAnsi="Arial" w:cs="Arial"/>
          <w:sz w:val="22"/>
          <w:szCs w:val="22"/>
        </w:rPr>
        <w:t>property reverting back</w:t>
      </w:r>
      <w:r w:rsidRPr="00631CBD">
        <w:rPr>
          <w:rFonts w:ascii="Arial" w:hAnsi="Arial" w:cs="Arial"/>
          <w:sz w:val="22"/>
          <w:szCs w:val="22"/>
        </w:rPr>
        <w:t xml:space="preserve"> to the settlor </w:t>
      </w:r>
      <w:r w:rsidR="00F75B1E" w:rsidRPr="00631CBD">
        <w:rPr>
          <w:rFonts w:ascii="Arial" w:hAnsi="Arial" w:cs="Arial"/>
          <w:sz w:val="22"/>
          <w:szCs w:val="22"/>
        </w:rPr>
        <w:t>by way of an express or</w:t>
      </w:r>
      <w:r w:rsidRPr="00631CBD">
        <w:rPr>
          <w:rFonts w:ascii="Arial" w:hAnsi="Arial" w:cs="Arial"/>
          <w:sz w:val="22"/>
          <w:szCs w:val="22"/>
        </w:rPr>
        <w:t xml:space="preserve"> resulting trust</w:t>
      </w:r>
      <w:r w:rsidR="00F75B1E" w:rsidRPr="00631CBD">
        <w:rPr>
          <w:rFonts w:ascii="Arial" w:hAnsi="Arial" w:cs="Arial"/>
          <w:sz w:val="22"/>
          <w:szCs w:val="22"/>
        </w:rPr>
        <w:t xml:space="preserve">. </w:t>
      </w:r>
      <w:r w:rsidRPr="00631CBD">
        <w:rPr>
          <w:rFonts w:ascii="Arial" w:hAnsi="Arial" w:cs="Arial"/>
          <w:sz w:val="22"/>
          <w:szCs w:val="22"/>
        </w:rPr>
        <w:t xml:space="preserve"> </w:t>
      </w:r>
      <w:r w:rsidR="00F75B1E" w:rsidRPr="00631CBD">
        <w:rPr>
          <w:rFonts w:ascii="Arial" w:hAnsi="Arial" w:cs="Arial"/>
          <w:sz w:val="22"/>
          <w:szCs w:val="22"/>
        </w:rPr>
        <w:t xml:space="preserve">Alternatively, or additionally, provision might be made for </w:t>
      </w:r>
      <w:r w:rsidRPr="00631CBD">
        <w:rPr>
          <w:rFonts w:ascii="Arial" w:hAnsi="Arial" w:cs="Arial"/>
          <w:sz w:val="22"/>
          <w:szCs w:val="22"/>
        </w:rPr>
        <w:t xml:space="preserve">an orderly distribution to </w:t>
      </w:r>
      <w:r w:rsidR="00054FDB" w:rsidRPr="00631CBD">
        <w:rPr>
          <w:rFonts w:ascii="Arial" w:hAnsi="Arial" w:cs="Arial"/>
          <w:sz w:val="22"/>
          <w:szCs w:val="22"/>
        </w:rPr>
        <w:t xml:space="preserve">specified </w:t>
      </w:r>
      <w:r w:rsidRPr="00631CBD">
        <w:rPr>
          <w:rFonts w:ascii="Arial" w:hAnsi="Arial" w:cs="Arial"/>
          <w:sz w:val="22"/>
          <w:szCs w:val="22"/>
        </w:rPr>
        <w:t xml:space="preserve">beneficiaries or </w:t>
      </w:r>
      <w:r w:rsidR="00054FDB" w:rsidRPr="00631CBD">
        <w:rPr>
          <w:rFonts w:ascii="Arial" w:hAnsi="Arial" w:cs="Arial"/>
          <w:sz w:val="22"/>
          <w:szCs w:val="22"/>
        </w:rPr>
        <w:t xml:space="preserve">to </w:t>
      </w:r>
      <w:r w:rsidRPr="00631CBD">
        <w:rPr>
          <w:rFonts w:ascii="Arial" w:hAnsi="Arial" w:cs="Arial"/>
          <w:sz w:val="22"/>
          <w:szCs w:val="22"/>
        </w:rPr>
        <w:t xml:space="preserve">a specified </w:t>
      </w:r>
      <w:r w:rsidR="00054FDB" w:rsidRPr="00631CBD">
        <w:rPr>
          <w:rFonts w:ascii="Arial" w:hAnsi="Arial" w:cs="Arial"/>
          <w:sz w:val="22"/>
          <w:szCs w:val="22"/>
        </w:rPr>
        <w:t>“</w:t>
      </w:r>
      <w:r w:rsidRPr="00631CBD">
        <w:rPr>
          <w:rFonts w:ascii="Arial" w:hAnsi="Arial" w:cs="Arial"/>
          <w:sz w:val="22"/>
          <w:szCs w:val="22"/>
        </w:rPr>
        <w:t>remainder</w:t>
      </w:r>
      <w:r w:rsidR="00054FDB" w:rsidRPr="00631CBD">
        <w:rPr>
          <w:rFonts w:ascii="Arial" w:hAnsi="Arial" w:cs="Arial"/>
          <w:sz w:val="22"/>
          <w:szCs w:val="22"/>
        </w:rPr>
        <w:t xml:space="preserve">” or “residual” entity; </w:t>
      </w:r>
      <w:r w:rsidRPr="00631CBD">
        <w:rPr>
          <w:rFonts w:ascii="Arial" w:hAnsi="Arial" w:cs="Arial"/>
          <w:sz w:val="22"/>
          <w:szCs w:val="22"/>
        </w:rPr>
        <w:t xml:space="preserve"> perhaps a charity or another corporate beneficiary. </w:t>
      </w:r>
      <w:r w:rsidR="00A56947" w:rsidRPr="00631CBD">
        <w:rPr>
          <w:rFonts w:ascii="Arial" w:hAnsi="Arial" w:cs="Arial"/>
          <w:sz w:val="22"/>
          <w:szCs w:val="22"/>
        </w:rPr>
        <w:t xml:space="preserve"> </w:t>
      </w:r>
      <w:r w:rsidRPr="00631CBD">
        <w:rPr>
          <w:rFonts w:ascii="Arial" w:hAnsi="Arial" w:cs="Arial"/>
          <w:sz w:val="22"/>
          <w:szCs w:val="22"/>
        </w:rPr>
        <w:t>W</w:t>
      </w:r>
      <w:r w:rsidR="00567927" w:rsidRPr="00631CBD">
        <w:rPr>
          <w:rFonts w:ascii="Arial" w:hAnsi="Arial" w:cs="Arial"/>
          <w:sz w:val="22"/>
          <w:szCs w:val="22"/>
        </w:rPr>
        <w:t xml:space="preserve">hatever the desired outcome, </w:t>
      </w:r>
      <w:r w:rsidR="00054FDB" w:rsidRPr="00631CBD">
        <w:rPr>
          <w:rFonts w:ascii="Arial" w:hAnsi="Arial" w:cs="Arial"/>
          <w:sz w:val="22"/>
          <w:szCs w:val="22"/>
        </w:rPr>
        <w:t xml:space="preserve">clear, comprehensive </w:t>
      </w:r>
      <w:r w:rsidR="00054FDB" w:rsidRPr="00631CBD">
        <w:rPr>
          <w:rFonts w:ascii="Arial" w:hAnsi="Arial" w:cs="Arial"/>
          <w:sz w:val="22"/>
          <w:szCs w:val="22"/>
        </w:rPr>
        <w:lastRenderedPageBreak/>
        <w:t>and thoughtful drafting will avoid</w:t>
      </w:r>
      <w:r w:rsidRPr="00631CBD">
        <w:rPr>
          <w:rFonts w:ascii="Arial" w:hAnsi="Arial" w:cs="Arial"/>
          <w:sz w:val="22"/>
          <w:szCs w:val="22"/>
        </w:rPr>
        <w:t xml:space="preserve"> the need for the trustee </w:t>
      </w:r>
      <w:r w:rsidR="00054FDB" w:rsidRPr="00631CBD">
        <w:rPr>
          <w:rFonts w:ascii="Arial" w:hAnsi="Arial" w:cs="Arial"/>
          <w:sz w:val="22"/>
          <w:szCs w:val="22"/>
        </w:rPr>
        <w:t xml:space="preserve">or others </w:t>
      </w:r>
      <w:r w:rsidRPr="00631CBD">
        <w:rPr>
          <w:rFonts w:ascii="Arial" w:hAnsi="Arial" w:cs="Arial"/>
          <w:sz w:val="22"/>
          <w:szCs w:val="22"/>
        </w:rPr>
        <w:t xml:space="preserve">to make application </w:t>
      </w:r>
      <w:r w:rsidR="00054FDB" w:rsidRPr="00631CBD">
        <w:rPr>
          <w:rFonts w:ascii="Arial" w:hAnsi="Arial" w:cs="Arial"/>
          <w:sz w:val="22"/>
          <w:szCs w:val="22"/>
        </w:rPr>
        <w:t xml:space="preserve">to </w:t>
      </w:r>
      <w:r w:rsidRPr="00631CBD">
        <w:rPr>
          <w:rFonts w:ascii="Arial" w:hAnsi="Arial" w:cs="Arial"/>
          <w:sz w:val="22"/>
          <w:szCs w:val="22"/>
        </w:rPr>
        <w:t>or seek directions from the court</w:t>
      </w:r>
      <w:r w:rsidR="00054FDB" w:rsidRPr="00631CBD">
        <w:rPr>
          <w:rFonts w:ascii="Arial" w:hAnsi="Arial" w:cs="Arial"/>
          <w:sz w:val="22"/>
          <w:szCs w:val="22"/>
        </w:rPr>
        <w:t xml:space="preserve">. </w:t>
      </w:r>
      <w:r w:rsidRPr="00631CBD">
        <w:rPr>
          <w:rFonts w:ascii="Arial" w:hAnsi="Arial" w:cs="Arial"/>
          <w:sz w:val="22"/>
          <w:szCs w:val="22"/>
        </w:rPr>
        <w:t xml:space="preserve"> </w:t>
      </w:r>
      <w:r w:rsidR="00054FDB" w:rsidRPr="00631CBD">
        <w:rPr>
          <w:rFonts w:ascii="Arial" w:hAnsi="Arial" w:cs="Arial"/>
          <w:sz w:val="22"/>
          <w:szCs w:val="22"/>
        </w:rPr>
        <w:t>It will make</w:t>
      </w:r>
      <w:r w:rsidRPr="00631CBD">
        <w:rPr>
          <w:rFonts w:ascii="Arial" w:hAnsi="Arial" w:cs="Arial"/>
          <w:sz w:val="22"/>
          <w:szCs w:val="22"/>
        </w:rPr>
        <w:t xml:space="preserve"> clear and certain the way in which the trust is to be administered, and its property distributed</w:t>
      </w:r>
      <w:r w:rsidR="00A56947" w:rsidRPr="00631CBD">
        <w:rPr>
          <w:rFonts w:ascii="Arial" w:hAnsi="Arial" w:cs="Arial"/>
          <w:sz w:val="22"/>
          <w:szCs w:val="22"/>
        </w:rPr>
        <w:t>;  both during the life of the primary purpose of the trust, and subsequently</w:t>
      </w:r>
      <w:r w:rsidR="00054FDB" w:rsidRPr="00631CBD">
        <w:rPr>
          <w:rFonts w:ascii="Arial" w:hAnsi="Arial" w:cs="Arial"/>
          <w:sz w:val="22"/>
          <w:szCs w:val="22"/>
        </w:rPr>
        <w:t>, even in the face of an “unthinkable” event</w:t>
      </w:r>
      <w:r w:rsidRPr="00631CBD">
        <w:rPr>
          <w:rFonts w:ascii="Arial" w:hAnsi="Arial" w:cs="Arial"/>
          <w:sz w:val="22"/>
          <w:szCs w:val="22"/>
        </w:rPr>
        <w:t>.</w:t>
      </w:r>
    </w:p>
    <w:p w14:paraId="7B5F5244" w14:textId="77777777" w:rsidR="00A065B8" w:rsidRPr="00631CBD" w:rsidRDefault="004B0C34" w:rsidP="00631CBD">
      <w:pPr>
        <w:spacing w:after="360" w:line="480" w:lineRule="auto"/>
        <w:rPr>
          <w:rFonts w:ascii="Arial" w:hAnsi="Arial" w:cs="Arial"/>
          <w:sz w:val="22"/>
          <w:szCs w:val="22"/>
        </w:rPr>
      </w:pPr>
      <w:r w:rsidRPr="00631CBD">
        <w:rPr>
          <w:rFonts w:ascii="Arial" w:hAnsi="Arial" w:cs="Arial"/>
          <w:sz w:val="22"/>
          <w:szCs w:val="22"/>
        </w:rPr>
        <w:t xml:space="preserve">Where no, or inadequate, provision has been made for the failure of the </w:t>
      </w:r>
      <w:r w:rsidR="00054FDB" w:rsidRPr="00631CBD">
        <w:rPr>
          <w:rFonts w:ascii="Arial" w:hAnsi="Arial" w:cs="Arial"/>
          <w:sz w:val="22"/>
          <w:szCs w:val="22"/>
        </w:rPr>
        <w:t xml:space="preserve">commercial </w:t>
      </w:r>
      <w:r w:rsidR="00625BA3" w:rsidRPr="00631CBD">
        <w:rPr>
          <w:rFonts w:ascii="Arial" w:hAnsi="Arial" w:cs="Arial"/>
          <w:sz w:val="22"/>
          <w:szCs w:val="22"/>
        </w:rPr>
        <w:t>purpose</w:t>
      </w:r>
      <w:r w:rsidR="00A56947" w:rsidRPr="00631CBD">
        <w:rPr>
          <w:rFonts w:ascii="Arial" w:hAnsi="Arial" w:cs="Arial"/>
          <w:sz w:val="22"/>
          <w:szCs w:val="22"/>
        </w:rPr>
        <w:t xml:space="preserve"> of the trust</w:t>
      </w:r>
      <w:r w:rsidRPr="00631CBD">
        <w:rPr>
          <w:rFonts w:ascii="Arial" w:hAnsi="Arial" w:cs="Arial"/>
          <w:sz w:val="22"/>
          <w:szCs w:val="22"/>
        </w:rPr>
        <w:t xml:space="preserve">, the </w:t>
      </w:r>
      <w:r w:rsidR="00625BA3" w:rsidRPr="00631CBD">
        <w:rPr>
          <w:rFonts w:ascii="Arial" w:hAnsi="Arial" w:cs="Arial"/>
          <w:sz w:val="22"/>
          <w:szCs w:val="22"/>
        </w:rPr>
        <w:t xml:space="preserve">question becomes more complicated. </w:t>
      </w:r>
      <w:r w:rsidR="00A56947" w:rsidRPr="00631CBD">
        <w:rPr>
          <w:rFonts w:ascii="Arial" w:hAnsi="Arial" w:cs="Arial"/>
          <w:sz w:val="22"/>
          <w:szCs w:val="22"/>
        </w:rPr>
        <w:t xml:space="preserve"> </w:t>
      </w:r>
      <w:r w:rsidR="00625BA3" w:rsidRPr="00631CBD">
        <w:rPr>
          <w:rFonts w:ascii="Arial" w:hAnsi="Arial" w:cs="Arial"/>
          <w:sz w:val="22"/>
          <w:szCs w:val="22"/>
        </w:rPr>
        <w:t>It may be that the settlor’s intention was for a resulting trust to arise</w:t>
      </w:r>
      <w:r w:rsidR="00A56947" w:rsidRPr="00631CBD">
        <w:rPr>
          <w:rFonts w:ascii="Arial" w:hAnsi="Arial" w:cs="Arial"/>
          <w:sz w:val="22"/>
          <w:szCs w:val="22"/>
        </w:rPr>
        <w:t xml:space="preserve"> in the settlor’s favour.  It may, alternatively or additionally, have been</w:t>
      </w:r>
      <w:r w:rsidR="00A065B8" w:rsidRPr="00631CBD">
        <w:rPr>
          <w:rFonts w:ascii="Arial" w:hAnsi="Arial" w:cs="Arial"/>
          <w:sz w:val="22"/>
          <w:szCs w:val="22"/>
        </w:rPr>
        <w:t xml:space="preserve"> intended </w:t>
      </w:r>
      <w:r w:rsidR="00A56947" w:rsidRPr="00631CBD">
        <w:rPr>
          <w:rFonts w:ascii="Arial" w:hAnsi="Arial" w:cs="Arial"/>
          <w:sz w:val="22"/>
          <w:szCs w:val="22"/>
        </w:rPr>
        <w:t>that the trust property pass</w:t>
      </w:r>
      <w:r w:rsidR="00A065B8" w:rsidRPr="00631CBD">
        <w:rPr>
          <w:rFonts w:ascii="Arial" w:hAnsi="Arial" w:cs="Arial"/>
          <w:sz w:val="22"/>
          <w:szCs w:val="22"/>
        </w:rPr>
        <w:t xml:space="preserve"> to a particular class of beneficiaries. </w:t>
      </w:r>
      <w:r w:rsidR="00A56947" w:rsidRPr="00631CBD">
        <w:rPr>
          <w:rFonts w:ascii="Arial" w:hAnsi="Arial" w:cs="Arial"/>
          <w:sz w:val="22"/>
          <w:szCs w:val="22"/>
        </w:rPr>
        <w:t xml:space="preserve"> </w:t>
      </w:r>
      <w:r w:rsidR="00A065B8" w:rsidRPr="00631CBD">
        <w:rPr>
          <w:rFonts w:ascii="Arial" w:hAnsi="Arial" w:cs="Arial"/>
          <w:sz w:val="22"/>
          <w:szCs w:val="22"/>
        </w:rPr>
        <w:t xml:space="preserve">If there are no </w:t>
      </w:r>
      <w:r w:rsidR="00A56947" w:rsidRPr="00631CBD">
        <w:rPr>
          <w:rFonts w:ascii="Arial" w:hAnsi="Arial" w:cs="Arial"/>
          <w:sz w:val="22"/>
          <w:szCs w:val="22"/>
        </w:rPr>
        <w:t xml:space="preserve">named or ascertainable </w:t>
      </w:r>
      <w:r w:rsidR="00A065B8" w:rsidRPr="00631CBD">
        <w:rPr>
          <w:rFonts w:ascii="Arial" w:hAnsi="Arial" w:cs="Arial"/>
          <w:sz w:val="22"/>
          <w:szCs w:val="22"/>
        </w:rPr>
        <w:t xml:space="preserve">beneficiaries, further problems </w:t>
      </w:r>
      <w:r w:rsidR="00A56947" w:rsidRPr="00631CBD">
        <w:rPr>
          <w:rFonts w:ascii="Arial" w:hAnsi="Arial" w:cs="Arial"/>
          <w:sz w:val="22"/>
          <w:szCs w:val="22"/>
        </w:rPr>
        <w:t>arise.</w:t>
      </w:r>
      <w:r w:rsidR="00A065B8" w:rsidRPr="00631CBD">
        <w:rPr>
          <w:rFonts w:ascii="Arial" w:hAnsi="Arial" w:cs="Arial"/>
          <w:sz w:val="22"/>
          <w:szCs w:val="22"/>
        </w:rPr>
        <w:t xml:space="preserve"> </w:t>
      </w:r>
      <w:r w:rsidR="00A56947" w:rsidRPr="00631CBD">
        <w:rPr>
          <w:rFonts w:ascii="Arial" w:hAnsi="Arial" w:cs="Arial"/>
          <w:sz w:val="22"/>
          <w:szCs w:val="22"/>
        </w:rPr>
        <w:t xml:space="preserve"> I</w:t>
      </w:r>
      <w:r w:rsidR="00A065B8" w:rsidRPr="00631CBD">
        <w:rPr>
          <w:rFonts w:ascii="Arial" w:hAnsi="Arial" w:cs="Arial"/>
          <w:sz w:val="22"/>
          <w:szCs w:val="22"/>
        </w:rPr>
        <w:t xml:space="preserve">f the trust instrument contains </w:t>
      </w:r>
      <w:r w:rsidR="00A56947" w:rsidRPr="00631CBD">
        <w:rPr>
          <w:rFonts w:ascii="Arial" w:hAnsi="Arial" w:cs="Arial"/>
          <w:sz w:val="22"/>
          <w:szCs w:val="22"/>
        </w:rPr>
        <w:t>provisions</w:t>
      </w:r>
      <w:r w:rsidR="00A065B8" w:rsidRPr="00631CBD">
        <w:rPr>
          <w:rFonts w:ascii="Arial" w:hAnsi="Arial" w:cs="Arial"/>
          <w:sz w:val="22"/>
          <w:szCs w:val="22"/>
        </w:rPr>
        <w:t xml:space="preserve"> that </w:t>
      </w:r>
      <w:r w:rsidR="00A56947" w:rsidRPr="00631CBD">
        <w:rPr>
          <w:rFonts w:ascii="Arial" w:hAnsi="Arial" w:cs="Arial"/>
          <w:sz w:val="22"/>
          <w:szCs w:val="22"/>
        </w:rPr>
        <w:t xml:space="preserve">indicate a gift to </w:t>
      </w:r>
      <w:r w:rsidR="00054FDB" w:rsidRPr="00631CBD">
        <w:rPr>
          <w:rFonts w:ascii="Arial" w:hAnsi="Arial" w:cs="Arial"/>
          <w:sz w:val="22"/>
          <w:szCs w:val="22"/>
        </w:rPr>
        <w:t xml:space="preserve">a </w:t>
      </w:r>
      <w:r w:rsidR="00A56947" w:rsidRPr="00631CBD">
        <w:rPr>
          <w:rFonts w:ascii="Arial" w:hAnsi="Arial" w:cs="Arial"/>
          <w:sz w:val="22"/>
          <w:szCs w:val="22"/>
        </w:rPr>
        <w:t>charity or a</w:t>
      </w:r>
      <w:r w:rsidR="00A065B8" w:rsidRPr="00631CBD">
        <w:rPr>
          <w:rFonts w:ascii="Arial" w:hAnsi="Arial" w:cs="Arial"/>
          <w:sz w:val="22"/>
          <w:szCs w:val="22"/>
        </w:rPr>
        <w:t xml:space="preserve"> charitable purpose, it may be that court intervention can save the trust from total failure. </w:t>
      </w:r>
      <w:r w:rsidR="00A56947" w:rsidRPr="00631CBD">
        <w:rPr>
          <w:rFonts w:ascii="Arial" w:hAnsi="Arial" w:cs="Arial"/>
          <w:sz w:val="22"/>
          <w:szCs w:val="22"/>
        </w:rPr>
        <w:t xml:space="preserve"> </w:t>
      </w:r>
      <w:r w:rsidR="00A065B8" w:rsidRPr="00631CBD">
        <w:rPr>
          <w:rFonts w:ascii="Arial" w:hAnsi="Arial" w:cs="Arial"/>
          <w:sz w:val="22"/>
          <w:szCs w:val="22"/>
        </w:rPr>
        <w:t>In the extreme, and outside of South Australia, th</w:t>
      </w:r>
      <w:r w:rsidR="00FA5287" w:rsidRPr="00631CBD">
        <w:rPr>
          <w:rFonts w:ascii="Arial" w:hAnsi="Arial" w:cs="Arial"/>
          <w:sz w:val="22"/>
          <w:szCs w:val="22"/>
        </w:rPr>
        <w:t xml:space="preserve">e trust </w:t>
      </w:r>
      <w:r w:rsidR="00A56947" w:rsidRPr="00631CBD">
        <w:rPr>
          <w:rFonts w:ascii="Arial" w:hAnsi="Arial" w:cs="Arial"/>
          <w:sz w:val="22"/>
          <w:szCs w:val="22"/>
        </w:rPr>
        <w:t>properly may revert</w:t>
      </w:r>
      <w:r w:rsidR="00FA5287" w:rsidRPr="00631CBD">
        <w:rPr>
          <w:rFonts w:ascii="Arial" w:hAnsi="Arial" w:cs="Arial"/>
          <w:sz w:val="22"/>
          <w:szCs w:val="22"/>
        </w:rPr>
        <w:t xml:space="preserve"> to the C</w:t>
      </w:r>
      <w:r w:rsidR="00A065B8" w:rsidRPr="00631CBD">
        <w:rPr>
          <w:rFonts w:ascii="Arial" w:hAnsi="Arial" w:cs="Arial"/>
          <w:sz w:val="22"/>
          <w:szCs w:val="22"/>
        </w:rPr>
        <w:t xml:space="preserve">rown </w:t>
      </w:r>
      <w:r w:rsidR="00A065B8" w:rsidRPr="00631CBD">
        <w:rPr>
          <w:rFonts w:ascii="Arial" w:hAnsi="Arial" w:cs="Arial"/>
          <w:i/>
          <w:sz w:val="22"/>
          <w:szCs w:val="22"/>
        </w:rPr>
        <w:t>bona vacantia</w:t>
      </w:r>
      <w:r w:rsidR="00A065B8" w:rsidRPr="00631CBD">
        <w:rPr>
          <w:rFonts w:ascii="Arial" w:hAnsi="Arial" w:cs="Arial"/>
          <w:sz w:val="22"/>
          <w:szCs w:val="22"/>
        </w:rPr>
        <w:t xml:space="preserve">. </w:t>
      </w:r>
      <w:r w:rsidR="00A56947" w:rsidRPr="00631CBD">
        <w:rPr>
          <w:rFonts w:ascii="Arial" w:hAnsi="Arial" w:cs="Arial"/>
          <w:sz w:val="22"/>
          <w:szCs w:val="22"/>
        </w:rPr>
        <w:t xml:space="preserve"> </w:t>
      </w:r>
      <w:r w:rsidR="00A065B8" w:rsidRPr="00631CBD">
        <w:rPr>
          <w:rFonts w:ascii="Arial" w:hAnsi="Arial" w:cs="Arial"/>
          <w:sz w:val="22"/>
          <w:szCs w:val="22"/>
        </w:rPr>
        <w:t xml:space="preserve">Consequently, to avoid such a situation, the full extent </w:t>
      </w:r>
      <w:r w:rsidR="00A56947" w:rsidRPr="00631CBD">
        <w:rPr>
          <w:rFonts w:ascii="Arial" w:hAnsi="Arial" w:cs="Arial"/>
          <w:sz w:val="22"/>
          <w:szCs w:val="22"/>
        </w:rPr>
        <w:t xml:space="preserve">and consequences </w:t>
      </w:r>
      <w:r w:rsidR="00A065B8" w:rsidRPr="00631CBD">
        <w:rPr>
          <w:rFonts w:ascii="Arial" w:hAnsi="Arial" w:cs="Arial"/>
          <w:sz w:val="22"/>
          <w:szCs w:val="22"/>
        </w:rPr>
        <w:t xml:space="preserve">of a failure of </w:t>
      </w:r>
      <w:r w:rsidR="00054FDB" w:rsidRPr="00631CBD">
        <w:rPr>
          <w:rFonts w:ascii="Arial" w:hAnsi="Arial" w:cs="Arial"/>
          <w:sz w:val="22"/>
          <w:szCs w:val="22"/>
        </w:rPr>
        <w:t xml:space="preserve">the commercial </w:t>
      </w:r>
      <w:r w:rsidR="00A065B8" w:rsidRPr="00631CBD">
        <w:rPr>
          <w:rFonts w:ascii="Arial" w:hAnsi="Arial" w:cs="Arial"/>
          <w:sz w:val="22"/>
          <w:szCs w:val="22"/>
        </w:rPr>
        <w:t>purpose should be canvassed in the trust</w:t>
      </w:r>
      <w:r w:rsidR="00054FDB" w:rsidRPr="00631CBD">
        <w:rPr>
          <w:rFonts w:ascii="Arial" w:hAnsi="Arial" w:cs="Arial"/>
          <w:sz w:val="22"/>
          <w:szCs w:val="22"/>
        </w:rPr>
        <w:t xml:space="preserve"> instrument – particularly the “unthinkable”</w:t>
      </w:r>
      <w:r w:rsidR="00A065B8" w:rsidRPr="00631CBD">
        <w:rPr>
          <w:rFonts w:ascii="Arial" w:hAnsi="Arial" w:cs="Arial"/>
          <w:sz w:val="22"/>
          <w:szCs w:val="22"/>
        </w:rPr>
        <w:t xml:space="preserve"> – the failure of </w:t>
      </w:r>
      <w:r w:rsidR="00054FDB" w:rsidRPr="00631CBD">
        <w:rPr>
          <w:rFonts w:ascii="Arial" w:hAnsi="Arial" w:cs="Arial"/>
          <w:sz w:val="22"/>
          <w:szCs w:val="22"/>
        </w:rPr>
        <w:t>the enterprise the trust was intended to serve.</w:t>
      </w:r>
      <w:r w:rsidR="00A56947" w:rsidRPr="00631CBD">
        <w:rPr>
          <w:rFonts w:ascii="Arial" w:hAnsi="Arial" w:cs="Arial"/>
          <w:sz w:val="22"/>
          <w:szCs w:val="22"/>
        </w:rPr>
        <w:t xml:space="preserve"> </w:t>
      </w:r>
      <w:r w:rsidR="00A065B8" w:rsidRPr="00631CBD">
        <w:rPr>
          <w:rFonts w:ascii="Arial" w:hAnsi="Arial" w:cs="Arial"/>
          <w:sz w:val="22"/>
          <w:szCs w:val="22"/>
        </w:rPr>
        <w:t xml:space="preserve"> What seems like a </w:t>
      </w:r>
      <w:r w:rsidR="00054FDB" w:rsidRPr="00631CBD">
        <w:rPr>
          <w:rFonts w:ascii="Arial" w:hAnsi="Arial" w:cs="Arial"/>
          <w:sz w:val="22"/>
          <w:szCs w:val="22"/>
        </w:rPr>
        <w:t>“</w:t>
      </w:r>
      <w:r w:rsidR="00A065B8" w:rsidRPr="00631CBD">
        <w:rPr>
          <w:rFonts w:ascii="Arial" w:hAnsi="Arial" w:cs="Arial"/>
          <w:sz w:val="22"/>
          <w:szCs w:val="22"/>
        </w:rPr>
        <w:t>sure thing</w:t>
      </w:r>
      <w:r w:rsidR="00054FDB" w:rsidRPr="00631CBD">
        <w:rPr>
          <w:rFonts w:ascii="Arial" w:hAnsi="Arial" w:cs="Arial"/>
          <w:sz w:val="22"/>
          <w:szCs w:val="22"/>
        </w:rPr>
        <w:t>”</w:t>
      </w:r>
      <w:r w:rsidR="00A065B8" w:rsidRPr="00631CBD">
        <w:rPr>
          <w:rFonts w:ascii="Arial" w:hAnsi="Arial" w:cs="Arial"/>
          <w:sz w:val="22"/>
          <w:szCs w:val="22"/>
        </w:rPr>
        <w:t xml:space="preserve"> often is not</w:t>
      </w:r>
      <w:r w:rsidR="00054FDB" w:rsidRPr="00631CBD">
        <w:rPr>
          <w:rFonts w:ascii="Arial" w:hAnsi="Arial" w:cs="Arial"/>
          <w:sz w:val="22"/>
          <w:szCs w:val="22"/>
        </w:rPr>
        <w:t>!</w:t>
      </w:r>
      <w:r w:rsidR="00A065B8" w:rsidRPr="00631CBD">
        <w:rPr>
          <w:rFonts w:ascii="Arial" w:hAnsi="Arial" w:cs="Arial"/>
          <w:sz w:val="22"/>
          <w:szCs w:val="22"/>
        </w:rPr>
        <w:t xml:space="preserve"> </w:t>
      </w:r>
      <w:r w:rsidR="00A56947" w:rsidRPr="00631CBD">
        <w:rPr>
          <w:rFonts w:ascii="Arial" w:hAnsi="Arial" w:cs="Arial"/>
          <w:sz w:val="22"/>
          <w:szCs w:val="22"/>
        </w:rPr>
        <w:t xml:space="preserve"> </w:t>
      </w:r>
      <w:r w:rsidR="00A065B8" w:rsidRPr="00631CBD">
        <w:rPr>
          <w:rFonts w:ascii="Arial" w:hAnsi="Arial" w:cs="Arial"/>
          <w:sz w:val="22"/>
          <w:szCs w:val="22"/>
        </w:rPr>
        <w:t xml:space="preserve">Corporations that seem stable </w:t>
      </w:r>
      <w:r w:rsidR="006C1CD3" w:rsidRPr="00631CBD">
        <w:rPr>
          <w:rFonts w:ascii="Arial" w:hAnsi="Arial" w:cs="Arial"/>
          <w:sz w:val="22"/>
          <w:szCs w:val="22"/>
        </w:rPr>
        <w:t>and permanent can fail; and do.</w:t>
      </w:r>
      <w:r w:rsidR="00A56947" w:rsidRPr="00631CBD">
        <w:rPr>
          <w:rFonts w:ascii="Arial" w:hAnsi="Arial" w:cs="Arial"/>
          <w:sz w:val="22"/>
          <w:szCs w:val="22"/>
        </w:rPr>
        <w:t xml:space="preserve">  The law reports in all jurisdictions bear testimony to this commercial reality – from at least the South Sea Bubble to the most recent crisis.</w:t>
      </w:r>
    </w:p>
    <w:p w14:paraId="12E3F211" w14:textId="77777777" w:rsidR="00054FDB" w:rsidRPr="00631CBD" w:rsidRDefault="00054FDB" w:rsidP="00A15582">
      <w:pPr>
        <w:spacing w:after="360" w:line="480" w:lineRule="auto"/>
        <w:jc w:val="center"/>
        <w:rPr>
          <w:rFonts w:ascii="Arial" w:hAnsi="Arial" w:cs="Arial"/>
          <w:b/>
          <w:sz w:val="22"/>
          <w:szCs w:val="22"/>
        </w:rPr>
      </w:pPr>
      <w:r w:rsidRPr="00631CBD">
        <w:rPr>
          <w:rFonts w:ascii="Arial" w:hAnsi="Arial" w:cs="Arial"/>
          <w:b/>
          <w:sz w:val="22"/>
          <w:szCs w:val="22"/>
        </w:rPr>
        <w:t>* * * * * * * * * * * * * * * * * * * * * * * * * *</w:t>
      </w:r>
      <w:bookmarkStart w:id="19" w:name="_GoBack"/>
      <w:bookmarkEnd w:id="19"/>
    </w:p>
    <w:sectPr w:rsidR="00054FDB" w:rsidRPr="00631CBD" w:rsidSect="00034C1F">
      <w:footerReference w:type="default" r:id="rId15"/>
      <w:type w:val="continuous"/>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0E96C" w14:textId="77777777" w:rsidR="00320CB0" w:rsidRDefault="00320CB0">
      <w:r>
        <w:separator/>
      </w:r>
    </w:p>
  </w:endnote>
  <w:endnote w:type="continuationSeparator" w:id="0">
    <w:p w14:paraId="598C8C8C" w14:textId="77777777" w:rsidR="00320CB0" w:rsidRDefault="0032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DC34" w14:textId="77777777" w:rsidR="000F7843" w:rsidRDefault="000F7843" w:rsidP="00E44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2472C2" w14:textId="77777777" w:rsidR="000F7843" w:rsidRDefault="000F7843" w:rsidP="004E09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3E16F" w14:textId="77777777" w:rsidR="000F7843" w:rsidRDefault="000F7843" w:rsidP="00E4463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A2D34" w14:textId="77777777" w:rsidR="000F7843" w:rsidRDefault="000F7843" w:rsidP="00034C1F">
    <w:pPr>
      <w:pStyle w:val="Footer"/>
      <w:jc w:val="center"/>
    </w:pPr>
    <w:r>
      <w:rPr>
        <w:rStyle w:val="PageNumber"/>
      </w:rPr>
      <w:fldChar w:fldCharType="begin"/>
    </w:r>
    <w:r>
      <w:rPr>
        <w:rStyle w:val="PageNumber"/>
      </w:rPr>
      <w:instrText xml:space="preserve">PAGE  </w:instrText>
    </w:r>
    <w:r>
      <w:rPr>
        <w:rStyle w:val="PageNumber"/>
      </w:rPr>
      <w:fldChar w:fldCharType="separate"/>
    </w:r>
    <w:r w:rsidR="009B62D1">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9A204" w14:textId="77777777" w:rsidR="00320CB0" w:rsidRDefault="00320CB0">
      <w:r>
        <w:separator/>
      </w:r>
    </w:p>
  </w:footnote>
  <w:footnote w:type="continuationSeparator" w:id="0">
    <w:p w14:paraId="147878CE" w14:textId="77777777" w:rsidR="00320CB0" w:rsidRDefault="00320CB0">
      <w:r>
        <w:continuationSeparator/>
      </w:r>
    </w:p>
  </w:footnote>
  <w:footnote w:id="1">
    <w:p w14:paraId="7F3DCCC7" w14:textId="77777777" w:rsidR="000F7843" w:rsidRDefault="000F7843" w:rsidP="008F635C">
      <w:pPr>
        <w:pStyle w:val="FootnoteText"/>
        <w:spacing w:line="240" w:lineRule="auto"/>
        <w:ind w:left="720" w:hanging="720"/>
      </w:pPr>
      <w:r>
        <w:rPr>
          <w:rStyle w:val="FootnoteReference"/>
        </w:rPr>
        <w:t>*</w:t>
      </w:r>
      <w:r>
        <w:t xml:space="preserve"> </w:t>
      </w:r>
      <w:r>
        <w:tab/>
        <w:t xml:space="preserve">A paper presented at the Trusts Symposium hosted by the </w:t>
      </w:r>
      <w:smartTag w:uri="urn:schemas-microsoft-com:office:smarttags" w:element="City">
        <w:smartTag w:uri="urn:schemas-microsoft-com:office:smarttags" w:element="place">
          <w:r>
            <w:t>Adelaide</w:t>
          </w:r>
        </w:smartTag>
      </w:smartTag>
      <w:r>
        <w:t xml:space="preserve"> branch of the Society of Trust and Estate Practitioners and  the Law Society of South Australia on 18 February 2011.</w:t>
      </w:r>
    </w:p>
  </w:footnote>
  <w:footnote w:id="2">
    <w:p w14:paraId="00E5F252" w14:textId="77777777" w:rsidR="000F7843" w:rsidRPr="00CB37C0" w:rsidRDefault="000F7843" w:rsidP="00CB37C0">
      <w:pPr>
        <w:pStyle w:val="FootnoteText"/>
        <w:spacing w:line="240" w:lineRule="auto"/>
        <w:ind w:left="720" w:hanging="720"/>
      </w:pPr>
      <w:r>
        <w:rPr>
          <w:rStyle w:val="FootnoteReference"/>
        </w:rPr>
        <w:footnoteRef/>
      </w:r>
      <w:r>
        <w:t xml:space="preserve"> </w:t>
      </w:r>
      <w:r>
        <w:tab/>
      </w:r>
      <w:r w:rsidRPr="00CB37C0">
        <w:t xml:space="preserve">I am particularly grateful to my </w:t>
      </w:r>
      <w:r>
        <w:t>associates</w:t>
      </w:r>
      <w:r w:rsidRPr="00CB37C0">
        <w:t xml:space="preserve">, Mr David Markham, B. Com, LLB (Hons) (Monash) </w:t>
      </w:r>
      <w:r>
        <w:t>and Mr Drossos Stamboulakis for their assistance with this paper.</w:t>
      </w:r>
    </w:p>
  </w:footnote>
  <w:footnote w:id="3">
    <w:p w14:paraId="108DE95E" w14:textId="77777777" w:rsidR="000F7843" w:rsidRDefault="000F7843" w:rsidP="00687339">
      <w:pPr>
        <w:pStyle w:val="FootnoteText"/>
        <w:spacing w:line="240" w:lineRule="auto"/>
        <w:ind w:left="720" w:hanging="720"/>
      </w:pPr>
      <w:r>
        <w:rPr>
          <w:rStyle w:val="FootnoteReference"/>
        </w:rPr>
        <w:footnoteRef/>
      </w:r>
      <w:r>
        <w:t xml:space="preserve"> </w:t>
      </w:r>
      <w:r>
        <w:tab/>
        <w:t xml:space="preserve">References to the “commercial purpose” of a trust or a trust for commercial purposes are references to a trust with identifiable beneficiaries, with a commercial function, and not a trust for a purpose, which, of course, must generally be for a charitable purpose;  and, consequently, issues do not arise with respect to “mixed” charitable and non-charitable purposes (as to which, see KJ Hardingham, “Trusts including charitable and non-charitable purposes – special statutory provisions” (1973) 47 </w:t>
      </w:r>
      <w:r w:rsidRPr="00843EEB">
        <w:rPr>
          <w:i/>
        </w:rPr>
        <w:t xml:space="preserve">ALJ </w:t>
      </w:r>
      <w:r>
        <w:t>698).</w:t>
      </w:r>
    </w:p>
  </w:footnote>
  <w:footnote w:id="4">
    <w:p w14:paraId="2F3E69C2" w14:textId="77777777" w:rsidR="000F7843" w:rsidRPr="005243D1" w:rsidRDefault="000F7843" w:rsidP="00372C6C">
      <w:pPr>
        <w:pStyle w:val="FootnoteText"/>
        <w:spacing w:line="240" w:lineRule="auto"/>
        <w:ind w:left="720" w:hanging="720"/>
      </w:pPr>
      <w:r>
        <w:rPr>
          <w:rStyle w:val="FootnoteReference"/>
        </w:rPr>
        <w:footnoteRef/>
      </w:r>
      <w:r>
        <w:t xml:space="preserve"> </w:t>
      </w:r>
      <w:r>
        <w:tab/>
      </w:r>
      <w:r w:rsidRPr="00372C6C">
        <w:rPr>
          <w:i/>
        </w:rPr>
        <w:t>Income Tax Special Purposes Commissioner’s v Pemsel</w:t>
      </w:r>
      <w:r>
        <w:t xml:space="preserve"> [1891] AC 531 (HL) at 572;  and see </w:t>
      </w:r>
      <w:r w:rsidRPr="00372C6C">
        <w:rPr>
          <w:i/>
        </w:rPr>
        <w:t xml:space="preserve">Royal National and Agricultural and Industrial Association v </w:t>
      </w:r>
      <w:smartTag w:uri="urn:schemas-microsoft-com:office:smarttags" w:element="place">
        <w:smartTag w:uri="urn:schemas-microsoft-com:office:smarttags" w:element="City">
          <w:r w:rsidRPr="00372C6C">
            <w:rPr>
              <w:i/>
            </w:rPr>
            <w:t>Chester</w:t>
          </w:r>
        </w:smartTag>
      </w:smartTag>
      <w:r>
        <w:t xml:space="preserve"> (1974) 48 ALJR 304 (HL); </w:t>
      </w:r>
      <w:r>
        <w:rPr>
          <w:i/>
        </w:rPr>
        <w:t xml:space="preserve">Aid/Watch Incorporated v Commissioner of Taxation </w:t>
      </w:r>
      <w:r>
        <w:t>[2010] HCA 42 at [13].</w:t>
      </w:r>
    </w:p>
  </w:footnote>
  <w:footnote w:id="5">
    <w:p w14:paraId="086BF5B5" w14:textId="77777777" w:rsidR="000F7843" w:rsidRDefault="000F7843" w:rsidP="00687339">
      <w:pPr>
        <w:pStyle w:val="FootnoteText"/>
        <w:spacing w:line="240" w:lineRule="auto"/>
        <w:ind w:left="720" w:hanging="720"/>
      </w:pPr>
      <w:r>
        <w:rPr>
          <w:rStyle w:val="FootnoteReference"/>
        </w:rPr>
        <w:footnoteRef/>
      </w:r>
      <w:r>
        <w:t xml:space="preserve"> </w:t>
      </w:r>
      <w:r>
        <w:tab/>
        <w:t xml:space="preserve">There is some debate, and exceptions, to this general principle. For further discussion, see J.D. Heydon and M.J. Leeming, </w:t>
      </w:r>
      <w:r w:rsidRPr="00200676">
        <w:rPr>
          <w:i/>
        </w:rPr>
        <w:t>Jacobs’ Law of Trust in Australia</w:t>
      </w:r>
      <w:r>
        <w:t xml:space="preserve"> </w:t>
      </w:r>
      <w:r w:rsidRPr="006D0BD8">
        <w:t>(</w:t>
      </w:r>
      <w:r>
        <w:t xml:space="preserve">LexisNexis Butterworths, </w:t>
      </w:r>
      <w:r w:rsidRPr="006D0BD8">
        <w:t>7</w:t>
      </w:r>
      <w:r w:rsidRPr="006D0BD8">
        <w:rPr>
          <w:vertAlign w:val="superscript"/>
        </w:rPr>
        <w:t>th</w:t>
      </w:r>
      <w:r w:rsidRPr="006D0BD8">
        <w:t xml:space="preserve"> ed, 2006</w:t>
      </w:r>
      <w:r>
        <w:t>) (“Jacobs”)  at 142 ([1006]).</w:t>
      </w:r>
    </w:p>
  </w:footnote>
  <w:footnote w:id="6">
    <w:p w14:paraId="30BDE1C1" w14:textId="77777777" w:rsidR="000F7843" w:rsidRPr="00237412" w:rsidRDefault="000F7843" w:rsidP="00687339">
      <w:pPr>
        <w:pStyle w:val="FootnoteText"/>
        <w:spacing w:line="240" w:lineRule="auto"/>
        <w:ind w:left="720" w:hanging="720"/>
      </w:pPr>
      <w:r>
        <w:rPr>
          <w:rStyle w:val="FootnoteReference"/>
        </w:rPr>
        <w:footnoteRef/>
      </w:r>
      <w:r>
        <w:t xml:space="preserve"> </w:t>
      </w:r>
      <w:r>
        <w:rPr>
          <w:i/>
        </w:rPr>
        <w:tab/>
        <w:t xml:space="preserve">Oppenheim v Tobacco Securities Trust Co Ltd </w:t>
      </w:r>
      <w:r>
        <w:t xml:space="preserve">[1951] AC 297 (HL) applying </w:t>
      </w:r>
      <w:r>
        <w:rPr>
          <w:i/>
        </w:rPr>
        <w:t>Re Compton</w:t>
      </w:r>
      <w:r>
        <w:t xml:space="preserve"> [1945] Ch 123;  and see </w:t>
      </w:r>
      <w:r>
        <w:rPr>
          <w:i/>
        </w:rPr>
        <w:t>Thompson v FCT</w:t>
      </w:r>
      <w:r>
        <w:t xml:space="preserve"> (1959) 102 CLR 315.</w:t>
      </w:r>
    </w:p>
  </w:footnote>
  <w:footnote w:id="7">
    <w:p w14:paraId="7F8A85C2" w14:textId="77777777" w:rsidR="000F7843" w:rsidRPr="006D0BD8" w:rsidRDefault="000F7843" w:rsidP="0099472E">
      <w:pPr>
        <w:pStyle w:val="FootnoteText"/>
        <w:spacing w:line="240" w:lineRule="auto"/>
        <w:ind w:left="720" w:hanging="720"/>
      </w:pPr>
      <w:r>
        <w:rPr>
          <w:rStyle w:val="FootnoteReference"/>
        </w:rPr>
        <w:footnoteRef/>
      </w:r>
      <w:r>
        <w:tab/>
      </w:r>
      <w:r w:rsidRPr="006D0BD8">
        <w:t xml:space="preserve">Thus Ford and Lee commented:  </w:t>
      </w:r>
    </w:p>
    <w:p w14:paraId="003A6778" w14:textId="77777777" w:rsidR="000F7843" w:rsidRPr="006D0BD8" w:rsidRDefault="000F7843" w:rsidP="006D0BD8">
      <w:pPr>
        <w:pStyle w:val="FootnoteText"/>
        <w:spacing w:after="120" w:line="240" w:lineRule="auto"/>
        <w:ind w:left="1440"/>
      </w:pPr>
      <w:r w:rsidRPr="006D0BD8">
        <w:t xml:space="preserve">“The </w:t>
      </w:r>
      <w:r w:rsidRPr="006D0BD8">
        <w:rPr>
          <w:i/>
        </w:rPr>
        <w:t xml:space="preserve">Compton/Oppenheim </w:t>
      </w:r>
      <w:r w:rsidRPr="006D0BD8">
        <w:t xml:space="preserve">rule generated its own problems.  It meant that employee benefit funds could not be characterised as charitable trusts;  and often they could not be characterised as private trusts because they lacked certainty of beneficiaries under the strict rules for the ascertainment of beneficiaries of private trusts before </w:t>
      </w:r>
      <w:r w:rsidRPr="006D0BD8">
        <w:rPr>
          <w:i/>
        </w:rPr>
        <w:t>McPhail v Doulton;  Re Baden’s Deed Trusts</w:t>
      </w:r>
      <w:r w:rsidRPr="006D0BD8">
        <w:t xml:space="preserve"> [1971] AC 424;  [1970] 2 All ER 228;  2 WLR 1110:  see [5.8210] ff.  They could therefore be without any legal foundation within the law of trusts and as such possibly void with the consequence that their funds would have to be returned to the persons who furnished them.  At best they were valid as mere powers, but not enforceable as trusts.  It is arguable that one of the consequences of </w:t>
      </w:r>
      <w:r w:rsidRPr="006D0BD8">
        <w:rPr>
          <w:i/>
        </w:rPr>
        <w:t>Compton/Oppenheim</w:t>
      </w:r>
      <w:r w:rsidRPr="006D0BD8">
        <w:t xml:space="preserve"> was that it rendered necessary the decision in </w:t>
      </w:r>
      <w:r w:rsidRPr="006D0BD8">
        <w:rPr>
          <w:i/>
        </w:rPr>
        <w:t>McPhail v Doulton;  Re Baden’s Deed Trusts</w:t>
      </w:r>
      <w:r w:rsidRPr="006D0BD8">
        <w:t xml:space="preserve"> [1971] AC 424;  [1970] 2 All ER 228;  2 WLR 1110, which modified the rule of certainty of beneficiaries in the case of private trusts, so that employee benefit trusts might be recognised as being within the private trust mechanism and so capable of enforcement.  This decision has relieved the law of any necessity to undertake a reconsideration of the </w:t>
      </w:r>
      <w:r w:rsidRPr="006D0BD8">
        <w:rPr>
          <w:i/>
        </w:rPr>
        <w:t>Compton/Oppenheim</w:t>
      </w:r>
      <w:r w:rsidRPr="006D0BD8">
        <w:t xml:space="preserve"> rule.</w:t>
      </w:r>
    </w:p>
    <w:p w14:paraId="5BA00563" w14:textId="77777777" w:rsidR="000F7843" w:rsidRPr="006D0BD8" w:rsidRDefault="000F7843" w:rsidP="006D0BD8">
      <w:pPr>
        <w:pStyle w:val="FootnoteText"/>
        <w:spacing w:line="240" w:lineRule="auto"/>
        <w:ind w:left="1440"/>
      </w:pPr>
      <w:r w:rsidRPr="006D0BD8">
        <w:t xml:space="preserve">The </w:t>
      </w:r>
      <w:r w:rsidRPr="006D0BD8">
        <w:rPr>
          <w:i/>
        </w:rPr>
        <w:t>Compton/Oppenheim</w:t>
      </w:r>
      <w:r w:rsidRPr="006D0BD8">
        <w:t xml:space="preserve"> rule has attracted some judicial misgivings, eg in </w:t>
      </w:r>
      <w:r w:rsidRPr="006D0BD8">
        <w:rPr>
          <w:i/>
        </w:rPr>
        <w:t>Dingle v Turner</w:t>
      </w:r>
      <w:r w:rsidRPr="006D0BD8">
        <w:t xml:space="preserve"> [1972] AC 601;  1 All ER 878 per Lord Cross at 623-624 and per Zelling J in </w:t>
      </w:r>
      <w:r w:rsidRPr="006D0BD8">
        <w:rPr>
          <w:i/>
        </w:rPr>
        <w:t>Public Trustee’s Young</w:t>
      </w:r>
      <w:r w:rsidRPr="006D0BD8">
        <w:t xml:space="preserve"> (1980) 24 SASR 407 at 414, but it is submitted</w:t>
      </w:r>
      <w:r>
        <w:t xml:space="preserve"> that it has become embedded” (Thomson Reuters, </w:t>
      </w:r>
      <w:r>
        <w:rPr>
          <w:i/>
        </w:rPr>
        <w:t>Principles of the Law of Trusts</w:t>
      </w:r>
      <w:r>
        <w:t xml:space="preserve">, vol 2 (at 82) </w:t>
      </w:r>
      <w:r w:rsidRPr="006D0BD8">
        <w:t xml:space="preserve"> [19.650]</w:t>
      </w:r>
      <w:r>
        <w:t>)</w:t>
      </w:r>
      <w:r w:rsidRPr="006D0BD8">
        <w:t xml:space="preserve">:  </w:t>
      </w:r>
      <w:r>
        <w:t>s</w:t>
      </w:r>
      <w:r w:rsidRPr="006D0BD8">
        <w:t xml:space="preserve">ee </w:t>
      </w:r>
      <w:r w:rsidRPr="006D0BD8">
        <w:rPr>
          <w:i/>
        </w:rPr>
        <w:t>Dingle v Turner</w:t>
      </w:r>
      <w:r w:rsidRPr="006D0BD8">
        <w:t xml:space="preserve"> [1972] AC 601, where a trust for “paying pensions to poor employees” of a company was upheld; thus standing for the proposition that where the trust is for the purpose of the relief of poverty, it is unlikely that a “public” purpose will be required for its validity.</w:t>
      </w:r>
    </w:p>
  </w:footnote>
  <w:footnote w:id="8">
    <w:p w14:paraId="24FB99E9" w14:textId="77777777" w:rsidR="000F7843" w:rsidRPr="00237412" w:rsidRDefault="000F7843" w:rsidP="00003898">
      <w:pPr>
        <w:pStyle w:val="FootnoteText"/>
        <w:spacing w:line="240" w:lineRule="auto"/>
        <w:ind w:left="720" w:hanging="720"/>
      </w:pPr>
      <w:r w:rsidRPr="006D0BD8">
        <w:rPr>
          <w:rStyle w:val="FootnoteReference"/>
        </w:rPr>
        <w:footnoteRef/>
      </w:r>
      <w:r w:rsidRPr="006D0BD8">
        <w:t xml:space="preserve"> </w:t>
      </w:r>
      <w:r w:rsidRPr="006D0BD8">
        <w:tab/>
        <w:t xml:space="preserve">See </w:t>
      </w:r>
      <w:r w:rsidRPr="006D0BD8">
        <w:rPr>
          <w:i/>
        </w:rPr>
        <w:t>Re Piercy</w:t>
      </w:r>
      <w:r w:rsidRPr="006D0BD8">
        <w:t xml:space="preserve"> [1898] 1 Ch 565;  and see</w:t>
      </w:r>
      <w:r>
        <w:t xml:space="preserve"> Jacobs at 142 [1062].</w:t>
      </w:r>
    </w:p>
  </w:footnote>
  <w:footnote w:id="9">
    <w:p w14:paraId="634C3391" w14:textId="77777777" w:rsidR="000F7843" w:rsidRPr="008F635C" w:rsidRDefault="000F7843" w:rsidP="00003898">
      <w:pPr>
        <w:pStyle w:val="FootnoteText"/>
        <w:spacing w:line="240" w:lineRule="auto"/>
        <w:ind w:left="720" w:hanging="720"/>
      </w:pPr>
      <w:r>
        <w:rPr>
          <w:rStyle w:val="FootnoteReference"/>
        </w:rPr>
        <w:footnoteRef/>
      </w:r>
      <w:r>
        <w:t xml:space="preserve"> </w:t>
      </w:r>
      <w:r>
        <w:tab/>
        <w:t xml:space="preserve">See Jacobs at 142 [1068];  a matter which may be relevant to the question whether the court should approve a scheme, general or </w:t>
      </w:r>
      <w:r>
        <w:rPr>
          <w:i/>
          <w:color w:val="000000"/>
        </w:rPr>
        <w:t>cy-pr</w:t>
      </w:r>
      <w:r>
        <w:rPr>
          <w:i/>
        </w:rPr>
        <w:t>è</w:t>
      </w:r>
      <w:r w:rsidRPr="00AA0361">
        <w:rPr>
          <w:i/>
          <w:color w:val="000000"/>
        </w:rPr>
        <w:t>s</w:t>
      </w:r>
      <w:r>
        <w:t xml:space="preserve"> (see </w:t>
      </w:r>
      <w:r w:rsidRPr="008F635C">
        <w:t>below pp 22 - 26).</w:t>
      </w:r>
    </w:p>
  </w:footnote>
  <w:footnote w:id="10">
    <w:p w14:paraId="7D633D27" w14:textId="77777777" w:rsidR="000F7843" w:rsidRDefault="000F7843" w:rsidP="00687339">
      <w:pPr>
        <w:pStyle w:val="FootnoteText"/>
        <w:spacing w:line="240" w:lineRule="auto"/>
        <w:ind w:left="720" w:hanging="720"/>
      </w:pPr>
      <w:r w:rsidRPr="008F635C">
        <w:rPr>
          <w:rStyle w:val="FootnoteReference"/>
        </w:rPr>
        <w:footnoteRef/>
      </w:r>
      <w:r w:rsidRPr="008F635C">
        <w:tab/>
        <w:t xml:space="preserve">See PW Young, C Croft and ML Smith, </w:t>
      </w:r>
      <w:r w:rsidRPr="008F635C">
        <w:rPr>
          <w:i/>
        </w:rPr>
        <w:t>On Equity</w:t>
      </w:r>
      <w:r w:rsidRPr="008F635C">
        <w:t xml:space="preserve"> (Lawbook Co, 2009) [6.310], 405</w:t>
      </w:r>
      <w:r>
        <w:t xml:space="preserve"> (“Young Croft and Smith”);  and Ford and Lee, Thomson Reuters, </w:t>
      </w:r>
      <w:r>
        <w:rPr>
          <w:i/>
        </w:rPr>
        <w:t>Principles of the Law of Trusts</w:t>
      </w:r>
      <w:r>
        <w:t xml:space="preserve">, vol 2 (at 78) [19.080]) that “A charitable trust cannot fail for uncertainty of objects or administrative unworkability:  the Court will always assist;  whereas a private trust may:  see, for example, </w:t>
      </w:r>
      <w:r>
        <w:rPr>
          <w:i/>
        </w:rPr>
        <w:t>Commissioner of Stamp Duties (NSW) v Way</w:t>
      </w:r>
      <w:r>
        <w:t xml:space="preserve"> (1951) 83 CLR 570 … “.</w:t>
      </w:r>
    </w:p>
  </w:footnote>
  <w:footnote w:id="11">
    <w:p w14:paraId="632E0E8E" w14:textId="77777777" w:rsidR="000F7843" w:rsidRPr="0039333F" w:rsidRDefault="000F7843" w:rsidP="00687339">
      <w:pPr>
        <w:pStyle w:val="FootnoteText"/>
        <w:spacing w:line="240" w:lineRule="auto"/>
        <w:ind w:left="720" w:hanging="720"/>
        <w:rPr>
          <w:i/>
        </w:rPr>
      </w:pPr>
      <w:r>
        <w:rPr>
          <w:rStyle w:val="FootnoteReference"/>
        </w:rPr>
        <w:footnoteRef/>
      </w:r>
      <w:r>
        <w:tab/>
        <w:t xml:space="preserve">NB: Particular classes or types of trusts are excepted by statute from this rule: see for example the </w:t>
      </w:r>
      <w:r>
        <w:rPr>
          <w:i/>
        </w:rPr>
        <w:t xml:space="preserve">Superannuation Industry (Supervision) Act </w:t>
      </w:r>
      <w:r>
        <w:t>1993 (Cth) . Certain trusts for the benefit of employees are also exempted (see Ford &amp; Lee (at 77) [7-10510]).</w:t>
      </w:r>
    </w:p>
  </w:footnote>
  <w:footnote w:id="12">
    <w:p w14:paraId="78F1547E" w14:textId="77777777" w:rsidR="000F7843" w:rsidRDefault="000F7843" w:rsidP="00687339">
      <w:pPr>
        <w:pStyle w:val="FootnoteText"/>
        <w:spacing w:line="240" w:lineRule="auto"/>
        <w:ind w:left="720" w:hanging="720"/>
      </w:pPr>
      <w:r>
        <w:rPr>
          <w:rStyle w:val="FootnoteReference"/>
        </w:rPr>
        <w:footnoteRef/>
      </w:r>
      <w:r>
        <w:tab/>
      </w:r>
      <w:r w:rsidRPr="00C91E8B">
        <w:rPr>
          <w:i/>
        </w:rPr>
        <w:t>Law of Property Act</w:t>
      </w:r>
      <w:r w:rsidRPr="00C91E8B">
        <w:t xml:space="preserve"> 1936 (SA)</w:t>
      </w:r>
      <w:r>
        <w:t xml:space="preserve">, s 61; and see also section 62 of the </w:t>
      </w:r>
      <w:r>
        <w:rPr>
          <w:i/>
        </w:rPr>
        <w:t>Law of Property Act</w:t>
      </w:r>
      <w:r w:rsidRPr="00256D07">
        <w:rPr>
          <w:i/>
        </w:rPr>
        <w:t xml:space="preserve"> </w:t>
      </w:r>
      <w:r>
        <w:t>which allows applications to be made to courts to vary the terms of a disposition so that unvested interests may vest immediately.</w:t>
      </w:r>
    </w:p>
  </w:footnote>
  <w:footnote w:id="13">
    <w:p w14:paraId="5D437017" w14:textId="77777777" w:rsidR="000F7843" w:rsidRDefault="000F7843" w:rsidP="00687339">
      <w:pPr>
        <w:pStyle w:val="FootnoteText"/>
        <w:spacing w:line="240" w:lineRule="auto"/>
        <w:ind w:left="720" w:hanging="720"/>
      </w:pPr>
      <w:r>
        <w:rPr>
          <w:rStyle w:val="FootnoteReference"/>
        </w:rPr>
        <w:footnoteRef/>
      </w:r>
      <w:r>
        <w:tab/>
        <w:t xml:space="preserve">Dr Geraint Thomas, </w:t>
      </w:r>
      <w:r w:rsidRPr="009714D6">
        <w:rPr>
          <w:i/>
        </w:rPr>
        <w:t>Thomas on Powers</w:t>
      </w:r>
      <w:r w:rsidRPr="009714D6">
        <w:t xml:space="preserve"> (</w:t>
      </w:r>
      <w:r>
        <w:t xml:space="preserve">Sweet &amp; Maxwell, </w:t>
      </w:r>
      <w:r w:rsidRPr="009714D6">
        <w:t xml:space="preserve">1998), </w:t>
      </w:r>
      <w:r>
        <w:t xml:space="preserve">[2-76]ff, citing </w:t>
      </w:r>
      <w:r>
        <w:rPr>
          <w:i/>
        </w:rPr>
        <w:t>Brown v</w:t>
      </w:r>
      <w:r w:rsidRPr="000330A5">
        <w:t xml:space="preserve"> </w:t>
      </w:r>
      <w:r>
        <w:rPr>
          <w:i/>
        </w:rPr>
        <w:t>Higgs</w:t>
      </w:r>
      <w:r>
        <w:t xml:space="preserve"> (1803) 8 Ves Jr 561, at 570-571.</w:t>
      </w:r>
    </w:p>
  </w:footnote>
  <w:footnote w:id="14">
    <w:p w14:paraId="7F30082E" w14:textId="77777777" w:rsidR="000F7843" w:rsidRDefault="000F7843" w:rsidP="00687339">
      <w:pPr>
        <w:pStyle w:val="FootnoteText"/>
        <w:spacing w:line="240" w:lineRule="auto"/>
        <w:ind w:left="720" w:hanging="720"/>
      </w:pPr>
      <w:r>
        <w:rPr>
          <w:rStyle w:val="FootnoteReference"/>
        </w:rPr>
        <w:footnoteRef/>
      </w:r>
      <w:r>
        <w:tab/>
      </w:r>
      <w:r>
        <w:rPr>
          <w:i/>
        </w:rPr>
        <w:t xml:space="preserve">Mettoy Pension Trustees </w:t>
      </w:r>
      <w:r w:rsidRPr="0027153A">
        <w:rPr>
          <w:i/>
        </w:rPr>
        <w:t>v</w:t>
      </w:r>
      <w:r w:rsidRPr="000330A5">
        <w:t xml:space="preserve"> </w:t>
      </w:r>
      <w:r>
        <w:rPr>
          <w:i/>
        </w:rPr>
        <w:t>Evans</w:t>
      </w:r>
      <w:r>
        <w:t xml:space="preserve"> [1990] 1 WLR 1587, at 1614.</w:t>
      </w:r>
    </w:p>
  </w:footnote>
  <w:footnote w:id="15">
    <w:p w14:paraId="70B6C724" w14:textId="77777777" w:rsidR="000F7843" w:rsidRDefault="000F7843" w:rsidP="00687339">
      <w:pPr>
        <w:pStyle w:val="FootnoteText"/>
        <w:spacing w:line="240" w:lineRule="auto"/>
        <w:ind w:left="720" w:hanging="720"/>
      </w:pPr>
      <w:r>
        <w:rPr>
          <w:rStyle w:val="FootnoteReference"/>
        </w:rPr>
        <w:footnoteRef/>
      </w:r>
      <w:r>
        <w:tab/>
      </w:r>
      <w:r>
        <w:rPr>
          <w:i/>
        </w:rPr>
        <w:t>In re Baden’s Deed Trusts</w:t>
      </w:r>
      <w:r>
        <w:t xml:space="preserve"> [1971] AC 424, at 456-457 (Lord Wilberforce);  </w:t>
      </w:r>
      <w:r>
        <w:rPr>
          <w:i/>
        </w:rPr>
        <w:t xml:space="preserve">Mettoy Pension Trustees </w:t>
      </w:r>
      <w:r w:rsidRPr="00356BDA">
        <w:rPr>
          <w:i/>
        </w:rPr>
        <w:t xml:space="preserve">v </w:t>
      </w:r>
      <w:r>
        <w:rPr>
          <w:i/>
        </w:rPr>
        <w:t>Evans</w:t>
      </w:r>
      <w:r>
        <w:t xml:space="preserve"> [1990] 1 WLR 1587, at 1617.</w:t>
      </w:r>
    </w:p>
  </w:footnote>
  <w:footnote w:id="16">
    <w:p w14:paraId="2F02A8CA" w14:textId="77777777" w:rsidR="000F7843" w:rsidRPr="006B7B62" w:rsidRDefault="000F7843" w:rsidP="009867F3">
      <w:pPr>
        <w:pStyle w:val="FootnoteText"/>
        <w:spacing w:line="240" w:lineRule="auto"/>
        <w:ind w:left="720" w:hanging="720"/>
      </w:pPr>
      <w:r>
        <w:rPr>
          <w:rStyle w:val="FootnoteReference"/>
        </w:rPr>
        <w:footnoteRef/>
      </w:r>
      <w:r>
        <w:t xml:space="preserve"> </w:t>
      </w:r>
      <w:r>
        <w:tab/>
        <w:t xml:space="preserve">(1997) 19 WAR 1;  having cited and applied the decision of the Full Court of Western Australia in </w:t>
      </w:r>
      <w:r>
        <w:rPr>
          <w:i/>
        </w:rPr>
        <w:t>Clay v Clay</w:t>
      </w:r>
      <w:r>
        <w:t xml:space="preserve"> (unreported, Supreme Court Western Australia, 27 March 1996), per Ipp J (Walsh and Anderson JJ concurring) at 5-6, where the authorities were reviewed;  and see </w:t>
      </w:r>
      <w:r>
        <w:rPr>
          <w:i/>
        </w:rPr>
        <w:t>Fell v Fell</w:t>
      </w:r>
      <w:r>
        <w:t xml:space="preserve"> (1922) 31 CLR 268 at 272-3 (Isaacs J);  and </w:t>
      </w:r>
      <w:r>
        <w:rPr>
          <w:i/>
        </w:rPr>
        <w:t>Re Gulbenkian’s Settlement Trusts</w:t>
      </w:r>
      <w:r>
        <w:t xml:space="preserve"> [1970] AC 5081 at 522 (Lord Upjohn) (HL).</w:t>
      </w:r>
    </w:p>
  </w:footnote>
  <w:footnote w:id="17">
    <w:p w14:paraId="141218D7" w14:textId="77777777" w:rsidR="000F7843" w:rsidRDefault="000F7843" w:rsidP="00687339">
      <w:pPr>
        <w:pStyle w:val="FootnoteText"/>
        <w:spacing w:line="240" w:lineRule="auto"/>
        <w:ind w:left="720" w:hanging="720"/>
      </w:pPr>
      <w:r>
        <w:rPr>
          <w:rStyle w:val="FootnoteReference"/>
        </w:rPr>
        <w:footnoteRef/>
      </w:r>
      <w:r>
        <w:tab/>
      </w:r>
      <w:r w:rsidRPr="00AA7181">
        <w:t>(1997) 19 WAR 1</w:t>
      </w:r>
      <w:r>
        <w:t xml:space="preserve"> at 6.</w:t>
      </w:r>
    </w:p>
  </w:footnote>
  <w:footnote w:id="18">
    <w:p w14:paraId="154FA036" w14:textId="77777777" w:rsidR="000F7843" w:rsidRDefault="000F7843" w:rsidP="00687339">
      <w:pPr>
        <w:pStyle w:val="FootnoteText"/>
        <w:spacing w:line="240" w:lineRule="auto"/>
        <w:ind w:left="720" w:hanging="720"/>
      </w:pPr>
      <w:r>
        <w:rPr>
          <w:rStyle w:val="FootnoteReference"/>
        </w:rPr>
        <w:footnoteRef/>
      </w:r>
      <w:r>
        <w:tab/>
        <w:t xml:space="preserve">See </w:t>
      </w:r>
      <w:r w:rsidRPr="00567105">
        <w:t>Lewison</w:t>
      </w:r>
      <w:r>
        <w:t>,</w:t>
      </w:r>
      <w:r w:rsidRPr="00567105">
        <w:t xml:space="preserve"> </w:t>
      </w:r>
      <w:r>
        <w:rPr>
          <w:i/>
        </w:rPr>
        <w:t>The Interpretation of Contracts</w:t>
      </w:r>
      <w:r>
        <w:t xml:space="preserve"> (4</w:t>
      </w:r>
      <w:r w:rsidRPr="00567105">
        <w:rPr>
          <w:vertAlign w:val="superscript"/>
        </w:rPr>
        <w:t>th</w:t>
      </w:r>
      <w:r>
        <w:t xml:space="preserve"> ed, 2007), [7.02</w:t>
      </w:r>
      <w:r w:rsidRPr="00567105">
        <w:t>]</w:t>
      </w:r>
      <w:r>
        <w:t xml:space="preserve"> and [7.03]</w:t>
      </w:r>
      <w:r w:rsidRPr="00567105">
        <w:t>.</w:t>
      </w:r>
    </w:p>
  </w:footnote>
  <w:footnote w:id="19">
    <w:p w14:paraId="2AC2029F" w14:textId="77777777" w:rsidR="000F7843" w:rsidRDefault="000F7843" w:rsidP="00687339">
      <w:pPr>
        <w:pStyle w:val="FootnoteText"/>
        <w:spacing w:line="240" w:lineRule="auto"/>
        <w:ind w:left="720" w:hanging="720"/>
      </w:pPr>
      <w:r>
        <w:rPr>
          <w:rStyle w:val="FootnoteReference"/>
        </w:rPr>
        <w:footnoteRef/>
      </w:r>
      <w:r>
        <w:tab/>
        <w:t>[2010] VSC 564.</w:t>
      </w:r>
    </w:p>
  </w:footnote>
  <w:footnote w:id="20">
    <w:p w14:paraId="6FEB60C8" w14:textId="77777777" w:rsidR="000F7843" w:rsidRDefault="000F7843" w:rsidP="00F22E73">
      <w:pPr>
        <w:pStyle w:val="FootnoteText"/>
        <w:spacing w:line="240" w:lineRule="auto"/>
        <w:ind w:left="720" w:hanging="720"/>
      </w:pPr>
      <w:r>
        <w:rPr>
          <w:rStyle w:val="FootnoteReference"/>
        </w:rPr>
        <w:footnoteRef/>
      </w:r>
      <w:r>
        <w:tab/>
        <w:t xml:space="preserve">Thomas and Hudson, </w:t>
      </w:r>
      <w:r>
        <w:rPr>
          <w:i/>
        </w:rPr>
        <w:t>The Law of Trusts</w:t>
      </w:r>
      <w:r>
        <w:t>, 2</w:t>
      </w:r>
      <w:r w:rsidRPr="001F29CD">
        <w:t>nd</w:t>
      </w:r>
      <w:r>
        <w:t xml:space="preserve"> ed (2010), [26.27].  See also Jacobs at 236, [1205]; </w:t>
      </w:r>
      <w:r>
        <w:rPr>
          <w:i/>
        </w:rPr>
        <w:t xml:space="preserve">James Miller Holdings Ltd. </w:t>
      </w:r>
      <w:r w:rsidRPr="00FC3795">
        <w:rPr>
          <w:i/>
        </w:rPr>
        <w:t>v</w:t>
      </w:r>
      <w:r w:rsidRPr="00E06A2B">
        <w:t xml:space="preserve"> </w:t>
      </w:r>
      <w:r>
        <w:rPr>
          <w:i/>
        </w:rPr>
        <w:t xml:space="preserve">Graham </w:t>
      </w:r>
      <w:r>
        <w:t>(1978) 3 ACLR 604, at 613-614.</w:t>
      </w:r>
    </w:p>
  </w:footnote>
  <w:footnote w:id="21">
    <w:p w14:paraId="33ECBC63" w14:textId="77777777" w:rsidR="000F7843" w:rsidRDefault="000F7843" w:rsidP="00687339">
      <w:pPr>
        <w:pStyle w:val="FootnoteText"/>
        <w:spacing w:line="240" w:lineRule="auto"/>
        <w:ind w:left="720" w:hanging="720"/>
      </w:pPr>
      <w:r>
        <w:rPr>
          <w:rStyle w:val="FootnoteReference"/>
        </w:rPr>
        <w:footnoteRef/>
      </w:r>
      <w:r>
        <w:tab/>
        <w:t xml:space="preserve">As to which see Young, Croft and Smith at [6.940]-[6.950], [6.10000];  GE Dal Pont &amp; DRC Chalmers, </w:t>
      </w:r>
      <w:r w:rsidRPr="008B6CE6">
        <w:rPr>
          <w:i/>
        </w:rPr>
        <w:t xml:space="preserve">Equity and Trusts in </w:t>
      </w:r>
      <w:smartTag w:uri="urn:schemas-microsoft-com:office:smarttags" w:element="place">
        <w:smartTag w:uri="urn:schemas-microsoft-com:office:smarttags" w:element="country-region">
          <w:r w:rsidRPr="008B6CE6">
            <w:rPr>
              <w:i/>
            </w:rPr>
            <w:t>Australia</w:t>
          </w:r>
        </w:smartTag>
      </w:smartTag>
      <w:r>
        <w:t xml:space="preserve"> (Fourth Edition, Lawbook Co., 2007) (“Dal Pont”) at [26.15]; Jacobs at [1201]-[1202]</w:t>
      </w:r>
      <w:r>
        <w:rPr>
          <w:b/>
        </w:rPr>
        <w:t>.</w:t>
      </w:r>
    </w:p>
  </w:footnote>
  <w:footnote w:id="22">
    <w:p w14:paraId="1C03F2D1" w14:textId="77777777" w:rsidR="000F7843" w:rsidRDefault="000F7843" w:rsidP="00687339">
      <w:pPr>
        <w:pStyle w:val="FootnoteText"/>
        <w:spacing w:line="240" w:lineRule="auto"/>
        <w:ind w:left="720" w:hanging="720"/>
      </w:pPr>
      <w:r>
        <w:rPr>
          <w:rStyle w:val="FootnoteReference"/>
        </w:rPr>
        <w:footnoteRef/>
      </w:r>
      <w:r>
        <w:tab/>
        <w:t>Ibid.</w:t>
      </w:r>
    </w:p>
  </w:footnote>
  <w:footnote w:id="23">
    <w:p w14:paraId="5E86EF06" w14:textId="77777777" w:rsidR="000F7843" w:rsidRDefault="000F7843" w:rsidP="00687339">
      <w:pPr>
        <w:pStyle w:val="FootnoteText"/>
        <w:spacing w:line="240" w:lineRule="auto"/>
        <w:ind w:left="720" w:hanging="720"/>
      </w:pPr>
      <w:r>
        <w:rPr>
          <w:rStyle w:val="FootnoteReference"/>
        </w:rPr>
        <w:footnoteRef/>
      </w:r>
      <w:r>
        <w:tab/>
        <w:t>Jacobs at [1202].</w:t>
      </w:r>
    </w:p>
  </w:footnote>
  <w:footnote w:id="24">
    <w:p w14:paraId="798CB4BC" w14:textId="77777777" w:rsidR="000F7843" w:rsidRDefault="000F7843" w:rsidP="00687339">
      <w:pPr>
        <w:pStyle w:val="FootnoteText"/>
        <w:spacing w:line="240" w:lineRule="auto"/>
        <w:ind w:left="720" w:hanging="720"/>
      </w:pPr>
      <w:r>
        <w:rPr>
          <w:rStyle w:val="FootnoteReference"/>
        </w:rPr>
        <w:footnoteRef/>
      </w:r>
      <w:r>
        <w:tab/>
      </w:r>
      <w:r w:rsidRPr="002F264A">
        <w:t>Dal Pont at [26.15], [26.35].</w:t>
      </w:r>
      <w:r>
        <w:t xml:space="preserve"> </w:t>
      </w:r>
      <w:r w:rsidRPr="002F264A">
        <w:t xml:space="preserve"> </w:t>
      </w:r>
      <w:r w:rsidRPr="002F264A">
        <w:rPr>
          <w:i/>
        </w:rPr>
        <w:t>Re Trusts of the Abbott Fund</w:t>
      </w:r>
      <w:r w:rsidRPr="002F264A">
        <w:t xml:space="preserve"> [1900] 2 Ch 326.</w:t>
      </w:r>
    </w:p>
  </w:footnote>
  <w:footnote w:id="25">
    <w:p w14:paraId="25FE7E4B" w14:textId="77777777" w:rsidR="000F7843" w:rsidRDefault="000F7843" w:rsidP="00687339">
      <w:pPr>
        <w:pStyle w:val="FootnoteText"/>
        <w:spacing w:line="240" w:lineRule="auto"/>
        <w:ind w:left="720" w:hanging="720"/>
      </w:pPr>
      <w:r>
        <w:rPr>
          <w:rStyle w:val="FootnoteReference"/>
        </w:rPr>
        <w:footnoteRef/>
      </w:r>
      <w:r>
        <w:tab/>
        <w:t xml:space="preserve">Young, Croft and Smith at [6.940], citing </w:t>
      </w:r>
      <w:r w:rsidRPr="002F264A">
        <w:rPr>
          <w:i/>
        </w:rPr>
        <w:t>Air Jamaica Ltd v Charlton</w:t>
      </w:r>
      <w:r>
        <w:t xml:space="preserve"> [1999] 1 WLR 1399.  See also Dal Pont at [28.155].</w:t>
      </w:r>
    </w:p>
  </w:footnote>
  <w:footnote w:id="26">
    <w:p w14:paraId="2F3FCF99" w14:textId="77777777" w:rsidR="000F7843" w:rsidRPr="00B95089" w:rsidRDefault="000F7843" w:rsidP="00687339">
      <w:pPr>
        <w:pStyle w:val="FootnoteText"/>
        <w:spacing w:line="240" w:lineRule="auto"/>
        <w:ind w:left="720" w:hanging="720"/>
      </w:pPr>
      <w:r>
        <w:rPr>
          <w:rStyle w:val="FootnoteReference"/>
        </w:rPr>
        <w:footnoteRef/>
      </w:r>
      <w:r>
        <w:t xml:space="preserve"> </w:t>
      </w:r>
      <w:r>
        <w:tab/>
      </w:r>
      <w:r>
        <w:rPr>
          <w:i/>
        </w:rPr>
        <w:t>Babcock</w:t>
      </w:r>
      <w:r>
        <w:t xml:space="preserve"> at [32].</w:t>
      </w:r>
    </w:p>
  </w:footnote>
  <w:footnote w:id="27">
    <w:p w14:paraId="3E0BFDF1" w14:textId="77777777" w:rsidR="000F7843" w:rsidRDefault="000F7843" w:rsidP="00687339">
      <w:pPr>
        <w:pStyle w:val="FootnoteText"/>
        <w:spacing w:line="240" w:lineRule="auto"/>
        <w:ind w:left="720" w:hanging="720"/>
      </w:pPr>
      <w:r>
        <w:rPr>
          <w:rStyle w:val="FootnoteReference"/>
        </w:rPr>
        <w:footnoteRef/>
      </w:r>
      <w:r>
        <w:tab/>
        <w:t xml:space="preserve">See, for example, Jacobs at [1068]; and see below </w:t>
      </w:r>
      <w:r w:rsidRPr="0029019F">
        <w:t>pp 22 – 26.</w:t>
      </w:r>
    </w:p>
  </w:footnote>
  <w:footnote w:id="28">
    <w:p w14:paraId="6D19ECD3" w14:textId="77777777" w:rsidR="000F7843" w:rsidRDefault="000F7843" w:rsidP="00687339">
      <w:pPr>
        <w:pStyle w:val="FootnoteText"/>
        <w:spacing w:line="240" w:lineRule="auto"/>
        <w:ind w:left="720" w:hanging="720"/>
      </w:pPr>
      <w:r>
        <w:rPr>
          <w:rStyle w:val="FootnoteReference"/>
        </w:rPr>
        <w:footnoteRef/>
      </w:r>
      <w:r>
        <w:tab/>
      </w:r>
      <w:r>
        <w:rPr>
          <w:i/>
        </w:rPr>
        <w:t xml:space="preserve">Butterell </w:t>
      </w:r>
      <w:r w:rsidRPr="006A24A0">
        <w:rPr>
          <w:i/>
        </w:rPr>
        <w:t>v</w:t>
      </w:r>
      <w:r w:rsidRPr="00C60F34">
        <w:t xml:space="preserve"> </w:t>
      </w:r>
      <w:r>
        <w:rPr>
          <w:i/>
        </w:rPr>
        <w:t>Docker Smith</w:t>
      </w:r>
      <w:r>
        <w:t xml:space="preserve"> </w:t>
      </w:r>
      <w:r>
        <w:rPr>
          <w:i/>
        </w:rPr>
        <w:t xml:space="preserve">Pty. Ltd. </w:t>
      </w:r>
      <w:r>
        <w:t xml:space="preserve">(1997) 41 NSWLR 129, at 137; </w:t>
      </w:r>
      <w:r>
        <w:rPr>
          <w:i/>
        </w:rPr>
        <w:t xml:space="preserve"> IACS Pty. Ltd. </w:t>
      </w:r>
      <w:r w:rsidRPr="006A24A0">
        <w:rPr>
          <w:i/>
        </w:rPr>
        <w:t>v</w:t>
      </w:r>
      <w:r w:rsidRPr="00C60F34">
        <w:t xml:space="preserve"> </w:t>
      </w:r>
      <w:r>
        <w:rPr>
          <w:i/>
        </w:rPr>
        <w:t xml:space="preserve">Australian Flower Exports Pty Ltd </w:t>
      </w:r>
      <w:r>
        <w:t>(1993) 10 ACSR 769, at 772.</w:t>
      </w:r>
    </w:p>
  </w:footnote>
  <w:footnote w:id="29">
    <w:p w14:paraId="169F5889" w14:textId="77777777" w:rsidR="000F7843" w:rsidRDefault="000F7843" w:rsidP="00687339">
      <w:pPr>
        <w:pStyle w:val="FootnoteText"/>
        <w:spacing w:line="240" w:lineRule="auto"/>
        <w:ind w:left="720" w:hanging="720"/>
      </w:pPr>
      <w:r>
        <w:rPr>
          <w:rStyle w:val="FootnoteReference"/>
        </w:rPr>
        <w:footnoteRef/>
      </w:r>
      <w:r>
        <w:tab/>
      </w:r>
      <w:r>
        <w:rPr>
          <w:i/>
        </w:rPr>
        <w:t>Butterell v</w:t>
      </w:r>
      <w:r w:rsidRPr="00C60F34">
        <w:t xml:space="preserve"> </w:t>
      </w:r>
      <w:r>
        <w:rPr>
          <w:i/>
        </w:rPr>
        <w:t>Docker Smith Pty Ltd</w:t>
      </w:r>
      <w:r>
        <w:t xml:space="preserve"> (1997) 41 NSWLR 129, at 136.</w:t>
      </w:r>
    </w:p>
  </w:footnote>
  <w:footnote w:id="30">
    <w:p w14:paraId="7A14393C" w14:textId="77777777" w:rsidR="000F7843" w:rsidRDefault="000F7843" w:rsidP="00687339">
      <w:pPr>
        <w:pStyle w:val="FootnoteText"/>
        <w:spacing w:line="240" w:lineRule="auto"/>
        <w:ind w:left="720" w:hanging="720"/>
      </w:pPr>
      <w:r>
        <w:rPr>
          <w:rStyle w:val="FootnoteReference"/>
        </w:rPr>
        <w:footnoteRef/>
      </w:r>
      <w:r>
        <w:t xml:space="preserve"> </w:t>
      </w:r>
      <w:r>
        <w:rPr>
          <w:i/>
        </w:rPr>
        <w:tab/>
        <w:t xml:space="preserve">Corporations Act </w:t>
      </w:r>
      <w:r w:rsidRPr="00923CDB">
        <w:t>2001</w:t>
      </w:r>
      <w:r>
        <w:t xml:space="preserve"> (Cth), ss. 477(2)(m), 506(1)(b);  </w:t>
      </w:r>
      <w:r>
        <w:rPr>
          <w:i/>
        </w:rPr>
        <w:t>Mettoy Pension Trustees v Evans</w:t>
      </w:r>
      <w:r>
        <w:t xml:space="preserve"> [1990] 1 WLR 1587, at 1616 (Warner J); </w:t>
      </w:r>
      <w:r>
        <w:rPr>
          <w:i/>
        </w:rPr>
        <w:t xml:space="preserve"> Re William Makin &amp; Sons Ltd.</w:t>
      </w:r>
      <w:r>
        <w:t xml:space="preserve"> [1993] BCC 453, at 458-460 (Vinelott J).</w:t>
      </w:r>
    </w:p>
  </w:footnote>
  <w:footnote w:id="31">
    <w:p w14:paraId="74E4BF36" w14:textId="77777777" w:rsidR="000F7843" w:rsidRDefault="000F7843" w:rsidP="00687339">
      <w:pPr>
        <w:pStyle w:val="FootnoteText"/>
        <w:spacing w:line="240" w:lineRule="auto"/>
        <w:ind w:left="720" w:hanging="720"/>
      </w:pPr>
      <w:r>
        <w:rPr>
          <w:rStyle w:val="FootnoteReference"/>
        </w:rPr>
        <w:footnoteRef/>
      </w:r>
      <w:r>
        <w:t xml:space="preserve"> </w:t>
      </w:r>
      <w:r>
        <w:tab/>
        <w:t>(1997) 41 NSWLR 129.</w:t>
      </w:r>
    </w:p>
  </w:footnote>
  <w:footnote w:id="32">
    <w:p w14:paraId="068863BF" w14:textId="77777777" w:rsidR="000F7843" w:rsidRDefault="000F7843" w:rsidP="00687339">
      <w:pPr>
        <w:pStyle w:val="FootnoteText"/>
        <w:spacing w:line="240" w:lineRule="auto"/>
        <w:ind w:left="720" w:hanging="720"/>
      </w:pPr>
      <w:r>
        <w:rPr>
          <w:rStyle w:val="FootnoteReference"/>
        </w:rPr>
        <w:footnoteRef/>
      </w:r>
      <w:r>
        <w:t xml:space="preserve"> </w:t>
      </w:r>
      <w:r>
        <w:tab/>
        <w:t>(1997) 41 NSWLR 129 at 137-8.</w:t>
      </w:r>
    </w:p>
  </w:footnote>
  <w:footnote w:id="33">
    <w:p w14:paraId="396743DE" w14:textId="77777777" w:rsidR="000F7843" w:rsidRDefault="000F7843" w:rsidP="000D5292">
      <w:pPr>
        <w:pStyle w:val="FootnoteText"/>
        <w:spacing w:line="240" w:lineRule="auto"/>
        <w:ind w:left="720" w:hanging="720"/>
      </w:pPr>
      <w:r>
        <w:rPr>
          <w:rStyle w:val="FootnoteReference"/>
        </w:rPr>
        <w:footnoteRef/>
      </w:r>
      <w:r>
        <w:tab/>
      </w:r>
      <w:r w:rsidRPr="000D5292">
        <w:rPr>
          <w:i/>
        </w:rPr>
        <w:t xml:space="preserve">Trusts Act </w:t>
      </w:r>
      <w:r w:rsidRPr="000D5292">
        <w:t>1973</w:t>
      </w:r>
      <w:r>
        <w:rPr>
          <w:i/>
        </w:rPr>
        <w:t xml:space="preserve"> </w:t>
      </w:r>
      <w:r>
        <w:t>(Qld),</w:t>
      </w:r>
      <w:r w:rsidRPr="000D5292">
        <w:rPr>
          <w:i/>
        </w:rPr>
        <w:t xml:space="preserve"> s 95(</w:t>
      </w:r>
      <w:r w:rsidRPr="00D36E3A">
        <w:rPr>
          <w:i/>
        </w:rPr>
        <w:t>5)</w:t>
      </w:r>
      <w:r w:rsidRPr="00D36E3A">
        <w:t xml:space="preserve">; </w:t>
      </w:r>
      <w:r w:rsidRPr="00D36E3A">
        <w:rPr>
          <w:i/>
        </w:rPr>
        <w:t xml:space="preserve">Trustee Act </w:t>
      </w:r>
      <w:r w:rsidRPr="00D36E3A">
        <w:t>1936 (SA)</w:t>
      </w:r>
      <w:r w:rsidRPr="00D36E3A">
        <w:rPr>
          <w:i/>
        </w:rPr>
        <w:t xml:space="preserve">, </w:t>
      </w:r>
      <w:r w:rsidRPr="00D36E3A">
        <w:t>s 59C</w:t>
      </w:r>
      <w:r w:rsidRPr="00D36E3A">
        <w:rPr>
          <w:i/>
        </w:rPr>
        <w:t>;</w:t>
      </w:r>
      <w:r w:rsidRPr="00D36E3A">
        <w:t xml:space="preserve"> </w:t>
      </w:r>
      <w:r w:rsidRPr="00D36E3A">
        <w:rPr>
          <w:i/>
        </w:rPr>
        <w:t xml:space="preserve">Variation of Trusts Act </w:t>
      </w:r>
      <w:r w:rsidRPr="00D36E3A">
        <w:t xml:space="preserve">1994 </w:t>
      </w:r>
      <w:r w:rsidRPr="00D36E3A">
        <w:rPr>
          <w:i/>
        </w:rPr>
        <w:t>(</w:t>
      </w:r>
      <w:r w:rsidRPr="00D36E3A">
        <w:t>Tas</w:t>
      </w:r>
      <w:r w:rsidRPr="00D36E3A">
        <w:rPr>
          <w:i/>
        </w:rPr>
        <w:t xml:space="preserve">); Trustee Act </w:t>
      </w:r>
      <w:r w:rsidRPr="00D36E3A">
        <w:t>1958 (Vic)</w:t>
      </w:r>
      <w:r w:rsidRPr="00D36E3A">
        <w:rPr>
          <w:i/>
        </w:rPr>
        <w:t xml:space="preserve">, s </w:t>
      </w:r>
      <w:r w:rsidRPr="00D36E3A">
        <w:t xml:space="preserve">63A; </w:t>
      </w:r>
      <w:r w:rsidRPr="00D36E3A">
        <w:rPr>
          <w:i/>
        </w:rPr>
        <w:t xml:space="preserve">Trustees Act </w:t>
      </w:r>
      <w:r w:rsidRPr="00D36E3A">
        <w:t>1962</w:t>
      </w:r>
      <w:r w:rsidRPr="00D36E3A">
        <w:rPr>
          <w:i/>
        </w:rPr>
        <w:t xml:space="preserve"> (WA), s 90(3); Administration</w:t>
      </w:r>
      <w:r w:rsidRPr="000D5292">
        <w:rPr>
          <w:i/>
        </w:rPr>
        <w:t xml:space="preserve"> Act </w:t>
      </w:r>
      <w:r w:rsidRPr="000D5292">
        <w:t>1903</w:t>
      </w:r>
      <w:r>
        <w:rPr>
          <w:i/>
        </w:rPr>
        <w:t xml:space="preserve"> (WA)</w:t>
      </w:r>
      <w:r>
        <w:t xml:space="preserve">. Section 59C of the </w:t>
      </w:r>
      <w:r>
        <w:rPr>
          <w:i/>
        </w:rPr>
        <w:t xml:space="preserve">Trustee Act </w:t>
      </w:r>
      <w:r>
        <w:t>1936 (SA) is broader than the Victorian provision. In this respect, Ford and Lee [15.230] comment (at p 15-1067):</w:t>
      </w:r>
    </w:p>
    <w:p w14:paraId="49A37F4E" w14:textId="77777777" w:rsidR="000F7843" w:rsidRDefault="000F7843" w:rsidP="00020B72">
      <w:pPr>
        <w:pStyle w:val="FootnoteText"/>
        <w:spacing w:before="120" w:after="120" w:line="240" w:lineRule="auto"/>
        <w:ind w:left="1440" w:hanging="180"/>
      </w:pPr>
      <w:r>
        <w:t>“The general language of the provision is in far broader terms than the English precedent, which was tailored to the highly particular need to break certain kinds of trusts when it was enacted. The jurisdiction to vary or revoke may be exercised not only on the application of a person who has a vested future or contingent interest in property held on trust, but also on the application of “a trustee”. There is therefore no limitation on the persons upon whose behalf a trustee may apply. The awkward language of the “arrangement” and the “approval of an arrangement” has been dispensed with and insistence on benefit is less precise”</w:t>
      </w:r>
    </w:p>
    <w:p w14:paraId="20579D24" w14:textId="77777777" w:rsidR="000F7843" w:rsidRPr="00D36E3A" w:rsidRDefault="000F7843" w:rsidP="00F76B96">
      <w:pPr>
        <w:pStyle w:val="FootnoteText"/>
        <w:spacing w:line="240" w:lineRule="auto"/>
        <w:ind w:left="720"/>
      </w:pPr>
      <w:r>
        <w:t xml:space="preserve">See, also, section 35B of </w:t>
      </w:r>
      <w:r>
        <w:rPr>
          <w:i/>
        </w:rPr>
        <w:t xml:space="preserve">Trustee Act </w:t>
      </w:r>
      <w:r>
        <w:t>1936 (SA) which allows amendment of a employee benefits fund if the consent of three-fourths of those present at the relevant meeting is obtained.</w:t>
      </w:r>
    </w:p>
  </w:footnote>
  <w:footnote w:id="34">
    <w:p w14:paraId="5C3444B2" w14:textId="77777777" w:rsidR="000F7843" w:rsidRPr="003634F7" w:rsidRDefault="000F7843" w:rsidP="00F22E73">
      <w:pPr>
        <w:pStyle w:val="FootnoteText"/>
        <w:spacing w:line="240" w:lineRule="auto"/>
        <w:ind w:left="720" w:hanging="720"/>
        <w:rPr>
          <w:highlight w:val="yellow"/>
        </w:rPr>
      </w:pPr>
      <w:r>
        <w:rPr>
          <w:rStyle w:val="FootnoteReference"/>
        </w:rPr>
        <w:footnoteRef/>
      </w:r>
      <w:r>
        <w:tab/>
        <w:t xml:space="preserve">See s 63 </w:t>
      </w:r>
      <w:r>
        <w:rPr>
          <w:i/>
        </w:rPr>
        <w:t>Trustee Act</w:t>
      </w:r>
      <w:r>
        <w:t xml:space="preserve"> 1958 (Vic);  provisions which proved to be too limited and which had been thought, wrongly, to authorise the alteration of the interests of beneficiaries:  see </w:t>
      </w:r>
      <w:r>
        <w:rPr>
          <w:i/>
        </w:rPr>
        <w:t>Chapman v Chapman</w:t>
      </w:r>
      <w:r>
        <w:t xml:space="preserve"> [1954] AC 429 (HL);  and see Jacobs at [1705] [1706] and Ford and Lee [15.050] and [15.060]. </w:t>
      </w:r>
    </w:p>
  </w:footnote>
  <w:footnote w:id="35">
    <w:p w14:paraId="5C3C399A" w14:textId="77777777" w:rsidR="000F7843" w:rsidRPr="00FF2BA0" w:rsidRDefault="000F7843" w:rsidP="00F22E73">
      <w:pPr>
        <w:pStyle w:val="FootnoteText"/>
        <w:spacing w:line="240" w:lineRule="auto"/>
        <w:ind w:left="720" w:hanging="720"/>
      </w:pPr>
      <w:r w:rsidRPr="00B746E4">
        <w:rPr>
          <w:rStyle w:val="FootnoteReference"/>
        </w:rPr>
        <w:footnoteRef/>
      </w:r>
      <w:r w:rsidRPr="00B746E4">
        <w:tab/>
        <w:t xml:space="preserve">See s 63A of the </w:t>
      </w:r>
      <w:r w:rsidRPr="00B746E4">
        <w:rPr>
          <w:i/>
        </w:rPr>
        <w:t>Trustee Act</w:t>
      </w:r>
      <w:r w:rsidRPr="00B746E4">
        <w:t xml:space="preserve"> 1958 (Vic). </w:t>
      </w:r>
    </w:p>
  </w:footnote>
  <w:footnote w:id="36">
    <w:p w14:paraId="0D7ABA17" w14:textId="77777777" w:rsidR="000F7843" w:rsidRPr="00497931" w:rsidRDefault="000F7843" w:rsidP="00497931">
      <w:pPr>
        <w:pStyle w:val="FootnoteText"/>
        <w:spacing w:line="240" w:lineRule="auto"/>
        <w:ind w:left="720" w:hanging="720"/>
      </w:pPr>
      <w:r>
        <w:rPr>
          <w:rStyle w:val="FootnoteReference"/>
        </w:rPr>
        <w:footnoteRef/>
      </w:r>
      <w:r>
        <w:t xml:space="preserve"> </w:t>
      </w:r>
      <w:r>
        <w:tab/>
        <w:t xml:space="preserve">The trust deed the subject of </w:t>
      </w:r>
      <w:r>
        <w:rPr>
          <w:i/>
        </w:rPr>
        <w:t>Babcock</w:t>
      </w:r>
      <w:r>
        <w:t xml:space="preserve"> defined “residual Beneficiaries” as meaning “Employees and/or charities nominated by the Remuneration Committee from time to time”.</w:t>
      </w:r>
    </w:p>
  </w:footnote>
  <w:footnote w:id="37">
    <w:p w14:paraId="3841C279" w14:textId="77777777" w:rsidR="000F7843" w:rsidRDefault="000F7843" w:rsidP="00687339">
      <w:pPr>
        <w:pStyle w:val="FootnoteText"/>
        <w:spacing w:line="240" w:lineRule="auto"/>
        <w:ind w:left="720" w:hanging="720"/>
      </w:pPr>
      <w:r>
        <w:rPr>
          <w:rStyle w:val="FootnoteReference"/>
        </w:rPr>
        <w:footnoteRef/>
      </w:r>
      <w:r>
        <w:t xml:space="preserve"> </w:t>
      </w:r>
      <w:r>
        <w:tab/>
      </w:r>
      <w:r>
        <w:rPr>
          <w:i/>
        </w:rPr>
        <w:t>In re Oakes’ Settlement Trusts</w:t>
      </w:r>
      <w:r>
        <w:t xml:space="preserve"> [1959] 1 WLR 502;  Thomas and Hudson, </w:t>
      </w:r>
      <w:r>
        <w:rPr>
          <w:i/>
        </w:rPr>
        <w:t>The Law of Trusts</w:t>
      </w:r>
      <w:r>
        <w:t>, 2nd ed (2010), [24.24].</w:t>
      </w:r>
    </w:p>
  </w:footnote>
  <w:footnote w:id="38">
    <w:p w14:paraId="4DCE65B0" w14:textId="77777777" w:rsidR="000F7843" w:rsidRPr="00F9740F" w:rsidRDefault="000F7843" w:rsidP="00687339">
      <w:pPr>
        <w:pStyle w:val="FootnoteText"/>
        <w:spacing w:line="240" w:lineRule="auto"/>
        <w:ind w:left="720" w:hanging="720"/>
      </w:pPr>
      <w:r>
        <w:rPr>
          <w:rStyle w:val="FootnoteReference"/>
        </w:rPr>
        <w:footnoteRef/>
      </w:r>
      <w:r>
        <w:t xml:space="preserve"> </w:t>
      </w:r>
      <w:r>
        <w:tab/>
        <w:t>See Ford and Lee, 15.070] to [15.090].</w:t>
      </w:r>
    </w:p>
  </w:footnote>
  <w:footnote w:id="39">
    <w:p w14:paraId="021FE097" w14:textId="77777777" w:rsidR="000F7843" w:rsidRPr="00F9740F" w:rsidRDefault="000F7843" w:rsidP="00687339">
      <w:pPr>
        <w:pStyle w:val="FootnoteText"/>
        <w:spacing w:line="240" w:lineRule="auto"/>
        <w:ind w:left="720" w:hanging="720"/>
      </w:pPr>
      <w:r>
        <w:rPr>
          <w:rStyle w:val="FootnoteReference"/>
        </w:rPr>
        <w:footnoteRef/>
      </w:r>
      <w:r>
        <w:t xml:space="preserve"> </w:t>
      </w:r>
      <w:r>
        <w:tab/>
        <w:t xml:space="preserve">[1968] AC 685 (HL);  and see </w:t>
      </w:r>
      <w:r>
        <w:rPr>
          <w:i/>
        </w:rPr>
        <w:t>Muhling v Perpetual Trustees WA Ltd</w:t>
      </w:r>
      <w:r>
        <w:t xml:space="preserve"> [2001] WASC 225 at [25] (Hasluck J).</w:t>
      </w:r>
    </w:p>
  </w:footnote>
  <w:footnote w:id="40">
    <w:p w14:paraId="1BF7B78E" w14:textId="77777777" w:rsidR="000F7843" w:rsidRDefault="000F7843" w:rsidP="00687339">
      <w:pPr>
        <w:pStyle w:val="FootnoteText"/>
        <w:spacing w:line="240" w:lineRule="auto"/>
        <w:ind w:left="720" w:hanging="720"/>
      </w:pPr>
      <w:r>
        <w:rPr>
          <w:rStyle w:val="FootnoteReference"/>
        </w:rPr>
        <w:footnoteRef/>
      </w:r>
      <w:r>
        <w:t xml:space="preserve"> </w:t>
      </w:r>
      <w:r>
        <w:tab/>
        <w:t>Ford and Lee, [15.060].</w:t>
      </w:r>
    </w:p>
  </w:footnote>
  <w:footnote w:id="41">
    <w:p w14:paraId="09498CFF" w14:textId="77777777" w:rsidR="000F7843" w:rsidRDefault="000F7843" w:rsidP="00687339">
      <w:pPr>
        <w:pStyle w:val="FootnoteText"/>
        <w:spacing w:line="240" w:lineRule="auto"/>
        <w:ind w:left="720" w:hanging="720"/>
      </w:pPr>
      <w:r>
        <w:rPr>
          <w:rStyle w:val="FootnoteReference"/>
        </w:rPr>
        <w:footnoteRef/>
      </w:r>
      <w:r>
        <w:t xml:space="preserve"> </w:t>
      </w:r>
      <w:r>
        <w:tab/>
        <w:t>[1965] AC 685 at 701.</w:t>
      </w:r>
    </w:p>
  </w:footnote>
  <w:footnote w:id="42">
    <w:p w14:paraId="65B2C4E9" w14:textId="77777777" w:rsidR="000F7843" w:rsidRDefault="000F7843" w:rsidP="00687339">
      <w:pPr>
        <w:pStyle w:val="FootnoteText"/>
        <w:spacing w:line="240" w:lineRule="auto"/>
        <w:ind w:left="720" w:hanging="720"/>
      </w:pPr>
      <w:r>
        <w:rPr>
          <w:rStyle w:val="FootnoteReference"/>
        </w:rPr>
        <w:footnoteRef/>
      </w:r>
      <w:r>
        <w:t xml:space="preserve"> </w:t>
      </w:r>
      <w:r>
        <w:tab/>
        <w:t>[1962] 1 WLR 363 at 370-371;  and see Ford and Lee, [15.090].</w:t>
      </w:r>
    </w:p>
  </w:footnote>
  <w:footnote w:id="43">
    <w:p w14:paraId="16391A47" w14:textId="77777777" w:rsidR="000F7843" w:rsidRDefault="000F7843" w:rsidP="0035439F">
      <w:pPr>
        <w:pStyle w:val="FootnoteText"/>
        <w:spacing w:line="240" w:lineRule="auto"/>
        <w:ind w:left="720" w:hanging="720"/>
      </w:pPr>
      <w:r>
        <w:rPr>
          <w:rStyle w:val="FootnoteReference"/>
        </w:rPr>
        <w:footnoteRef/>
      </w:r>
      <w:r>
        <w:t xml:space="preserve"> </w:t>
      </w:r>
      <w:r>
        <w:tab/>
        <w:t>The variation proposed was, in effect, to add a provision for termination of the trust on the commencement of the winding up of Babcock &amp; Brown Ltd – which marked the insolvency of the Babcock &amp; Brown group and the end of its carrying on business.</w:t>
      </w:r>
    </w:p>
  </w:footnote>
  <w:footnote w:id="44">
    <w:p w14:paraId="27B1E465" w14:textId="77777777" w:rsidR="000F7843" w:rsidRDefault="000F7843" w:rsidP="00687339">
      <w:pPr>
        <w:pStyle w:val="FootnoteText"/>
        <w:spacing w:line="240" w:lineRule="auto"/>
        <w:ind w:left="720" w:hanging="720"/>
      </w:pPr>
      <w:r>
        <w:rPr>
          <w:rStyle w:val="FootnoteReference"/>
        </w:rPr>
        <w:footnoteRef/>
      </w:r>
      <w:r>
        <w:t xml:space="preserve"> </w:t>
      </w:r>
      <w:r>
        <w:tab/>
        <w:t xml:space="preserve">See Thomas and Hudson, </w:t>
      </w:r>
      <w:r>
        <w:rPr>
          <w:i/>
        </w:rPr>
        <w:t>The Law of Trusts</w:t>
      </w:r>
      <w:r>
        <w:t>, 2nd ed (2010), [24.27]ff.</w:t>
      </w:r>
    </w:p>
  </w:footnote>
  <w:footnote w:id="45">
    <w:p w14:paraId="6E93BEEB" w14:textId="77777777" w:rsidR="000F7843" w:rsidRDefault="000F7843" w:rsidP="00687339">
      <w:pPr>
        <w:pStyle w:val="FootnoteText"/>
        <w:spacing w:line="240" w:lineRule="auto"/>
        <w:ind w:left="720" w:hanging="720"/>
      </w:pPr>
      <w:r>
        <w:rPr>
          <w:rStyle w:val="FootnoteReference"/>
        </w:rPr>
        <w:footnoteRef/>
      </w:r>
      <w:r>
        <w:t xml:space="preserve"> </w:t>
      </w:r>
      <w:r>
        <w:tab/>
        <w:t>c</w:t>
      </w:r>
      <w:r w:rsidRPr="00120FCC">
        <w:t>f</w:t>
      </w:r>
      <w:r>
        <w:rPr>
          <w:i/>
        </w:rPr>
        <w:t xml:space="preserve"> In re Cohen’s Settlements </w:t>
      </w:r>
      <w:r>
        <w:t>[1965] 1 WLR 1229.</w:t>
      </w:r>
    </w:p>
  </w:footnote>
  <w:footnote w:id="46">
    <w:p w14:paraId="35104178" w14:textId="77777777" w:rsidR="000F7843" w:rsidRDefault="000F7843" w:rsidP="00687339">
      <w:pPr>
        <w:pStyle w:val="FootnoteText"/>
        <w:spacing w:line="240" w:lineRule="auto"/>
        <w:ind w:left="720" w:hanging="720"/>
      </w:pPr>
      <w:r>
        <w:rPr>
          <w:rStyle w:val="FootnoteReference"/>
        </w:rPr>
        <w:footnoteRef/>
      </w:r>
      <w:r>
        <w:t xml:space="preserve"> </w:t>
      </w:r>
      <w:r>
        <w:tab/>
      </w:r>
      <w:r>
        <w:rPr>
          <w:i/>
        </w:rPr>
        <w:t xml:space="preserve">In re Cohen’s Settlements </w:t>
      </w:r>
      <w:r>
        <w:t xml:space="preserve">[1965] 1 WLR 1229, at 1236 (Stamp J);  </w:t>
      </w:r>
      <w:r>
        <w:rPr>
          <w:i/>
        </w:rPr>
        <w:t>Re Blocksidge</w:t>
      </w:r>
      <w:r>
        <w:t xml:space="preserve"> [1997] 1 Qd R 234, at 237-238 (Williams J).</w:t>
      </w:r>
    </w:p>
  </w:footnote>
  <w:footnote w:id="47">
    <w:p w14:paraId="4BAC7B6C" w14:textId="77777777" w:rsidR="000F7843" w:rsidRDefault="000F7843" w:rsidP="00BD67BE">
      <w:pPr>
        <w:pStyle w:val="FootnoteText"/>
        <w:spacing w:line="240" w:lineRule="auto"/>
      </w:pPr>
      <w:r>
        <w:rPr>
          <w:rStyle w:val="FootnoteReference"/>
        </w:rPr>
        <w:footnoteRef/>
      </w:r>
      <w:r>
        <w:t xml:space="preserve"> </w:t>
      </w:r>
      <w:r>
        <w:tab/>
        <w:t>The settlor was Babcock &amp; Brown International Pty Ltd.</w:t>
      </w:r>
    </w:p>
  </w:footnote>
  <w:footnote w:id="48">
    <w:p w14:paraId="3307CE7A" w14:textId="77777777" w:rsidR="000F7843" w:rsidRPr="00F70C93" w:rsidRDefault="000F7843" w:rsidP="00687339">
      <w:pPr>
        <w:pStyle w:val="FootnoteText"/>
        <w:spacing w:line="240" w:lineRule="auto"/>
        <w:ind w:left="720" w:hanging="720"/>
      </w:pPr>
      <w:r>
        <w:rPr>
          <w:rStyle w:val="FootnoteReference"/>
        </w:rPr>
        <w:footnoteRef/>
      </w:r>
      <w:r>
        <w:t xml:space="preserve"> </w:t>
      </w:r>
      <w:r>
        <w:tab/>
        <w:t>See clause 1.1 of the Trust Deed: “Remuneration Committee – means the sub-committee by that name of the board of [Babcock &amp; Brown Ltd] as constituted from time to time and if there is no such sub-committee, then the Board of [Babcock &amp; Brown Ltd]”.</w:t>
      </w:r>
    </w:p>
  </w:footnote>
  <w:footnote w:id="49">
    <w:p w14:paraId="4D88FBE8" w14:textId="77777777" w:rsidR="000F7843" w:rsidRPr="004C7382" w:rsidRDefault="000F7843" w:rsidP="008A39B0">
      <w:pPr>
        <w:pStyle w:val="FootnoteText"/>
        <w:spacing w:line="240" w:lineRule="auto"/>
        <w:ind w:left="720" w:hanging="720"/>
        <w:rPr>
          <w:highlight w:val="yellow"/>
        </w:rPr>
      </w:pPr>
      <w:r>
        <w:rPr>
          <w:rStyle w:val="FootnoteReference"/>
        </w:rPr>
        <w:footnoteRef/>
      </w:r>
      <w:r>
        <w:t xml:space="preserve"> </w:t>
      </w:r>
      <w:r>
        <w:tab/>
        <w:t xml:space="preserve">See </w:t>
      </w:r>
      <w:r>
        <w:rPr>
          <w:i/>
        </w:rPr>
        <w:t xml:space="preserve">Re Wells </w:t>
      </w:r>
      <w:r>
        <w:t>[1933] Ch 29 at 49 (</w:t>
      </w:r>
      <w:smartTag w:uri="urn:schemas-microsoft-com:office:smarttags" w:element="place">
        <w:smartTag w:uri="urn:schemas-microsoft-com:office:smarttags" w:element="City">
          <w:r>
            <w:t>Lawrence</w:t>
          </w:r>
        </w:smartTag>
      </w:smartTag>
      <w:r>
        <w:t xml:space="preserve"> LJ); </w:t>
      </w:r>
      <w:r>
        <w:rPr>
          <w:i/>
        </w:rPr>
        <w:t xml:space="preserve">Re Producers’ Defence </w:t>
      </w:r>
      <w:r w:rsidRPr="00B76891">
        <w:t>Fund</w:t>
      </w:r>
      <w:r>
        <w:t xml:space="preserve"> [1954] VLR 246 (Smith J); </w:t>
      </w:r>
      <w:r w:rsidRPr="00B76891">
        <w:t>and</w:t>
      </w:r>
      <w:r>
        <w:t xml:space="preserve"> Ford and Lee[21.035].</w:t>
      </w:r>
    </w:p>
  </w:footnote>
  <w:footnote w:id="50">
    <w:p w14:paraId="1B34C81A" w14:textId="77777777" w:rsidR="000F7843" w:rsidRPr="001C4F50" w:rsidRDefault="000F7843" w:rsidP="00541D2E">
      <w:pPr>
        <w:pStyle w:val="FootnoteText"/>
        <w:spacing w:line="240" w:lineRule="auto"/>
      </w:pPr>
      <w:r w:rsidRPr="001C4F50">
        <w:rPr>
          <w:rStyle w:val="FootnoteReference"/>
        </w:rPr>
        <w:footnoteRef/>
      </w:r>
      <w:r w:rsidRPr="001C4F50">
        <w:t xml:space="preserve"> </w:t>
      </w:r>
      <w:r w:rsidRPr="001C4F50">
        <w:tab/>
        <w:t xml:space="preserve">See </w:t>
      </w:r>
      <w:r w:rsidRPr="001C4F50">
        <w:rPr>
          <w:i/>
        </w:rPr>
        <w:t xml:space="preserve">Trustee Act </w:t>
      </w:r>
      <w:r w:rsidRPr="001C4F50">
        <w:t>1936 (SA) s 69B.</w:t>
      </w:r>
    </w:p>
  </w:footnote>
  <w:footnote w:id="51">
    <w:p w14:paraId="52ED5899" w14:textId="77777777" w:rsidR="000F7843" w:rsidRDefault="000F7843" w:rsidP="00541D2E">
      <w:pPr>
        <w:pStyle w:val="FootnoteText"/>
        <w:spacing w:line="240" w:lineRule="auto"/>
        <w:ind w:left="720" w:hanging="720"/>
      </w:pPr>
      <w:r>
        <w:rPr>
          <w:rStyle w:val="FootnoteReference"/>
        </w:rPr>
        <w:footnoteRef/>
      </w:r>
      <w:r>
        <w:t xml:space="preserve"> </w:t>
      </w:r>
      <w:r>
        <w:tab/>
        <w:t>Jacobs at [1069].</w:t>
      </w:r>
    </w:p>
  </w:footnote>
  <w:footnote w:id="52">
    <w:p w14:paraId="766CC689" w14:textId="77777777" w:rsidR="000F7843" w:rsidRDefault="000F7843" w:rsidP="00493188">
      <w:pPr>
        <w:pStyle w:val="FootnoteText"/>
        <w:spacing w:line="240" w:lineRule="auto"/>
        <w:ind w:left="720" w:hanging="720"/>
      </w:pPr>
      <w:r>
        <w:rPr>
          <w:rStyle w:val="FootnoteReference"/>
        </w:rPr>
        <w:footnoteRef/>
      </w:r>
      <w:r>
        <w:tab/>
      </w:r>
      <w:r w:rsidRPr="00493188">
        <w:t>[</w:t>
      </w:r>
      <w:r>
        <w:t>2006] NSWSC 1219.</w:t>
      </w:r>
    </w:p>
  </w:footnote>
  <w:footnote w:id="53">
    <w:p w14:paraId="4609779F" w14:textId="77777777" w:rsidR="000F7843" w:rsidRDefault="000F7843" w:rsidP="00687339">
      <w:pPr>
        <w:pStyle w:val="FootnoteText"/>
        <w:spacing w:line="240" w:lineRule="auto"/>
        <w:ind w:left="720" w:hanging="720"/>
      </w:pPr>
      <w:r>
        <w:rPr>
          <w:rStyle w:val="FootnoteReference"/>
        </w:rPr>
        <w:footnoteRef/>
      </w:r>
      <w:r>
        <w:tab/>
        <w:t>[2006] NSWSC 1219, at [9].</w:t>
      </w:r>
    </w:p>
  </w:footnote>
  <w:footnote w:id="54">
    <w:p w14:paraId="743EE05B" w14:textId="77777777" w:rsidR="000F7843" w:rsidRPr="0062510B" w:rsidRDefault="000F7843" w:rsidP="0062510B">
      <w:pPr>
        <w:pStyle w:val="FootnoteText"/>
        <w:spacing w:line="240" w:lineRule="auto"/>
        <w:ind w:left="720" w:hanging="720"/>
      </w:pPr>
      <w:r>
        <w:rPr>
          <w:rStyle w:val="FootnoteReference"/>
        </w:rPr>
        <w:footnoteRef/>
      </w:r>
      <w:r>
        <w:t xml:space="preserve"> </w:t>
      </w:r>
      <w:r>
        <w:tab/>
        <w:t xml:space="preserve">Jacobs at [1070];  referring to </w:t>
      </w:r>
      <w:smartTag w:uri="urn:schemas-microsoft-com:office:smarttags" w:element="place">
        <w:smartTag w:uri="urn:schemas-microsoft-com:office:smarttags" w:element="City">
          <w:r>
            <w:t>Sheridan</w:t>
          </w:r>
        </w:smartTag>
      </w:smartTag>
      <w:r>
        <w:t xml:space="preserve"> and Delaney, </w:t>
      </w:r>
      <w:r>
        <w:rPr>
          <w:i/>
        </w:rPr>
        <w:t>The Cy-pr</w:t>
      </w:r>
      <w:r w:rsidRPr="00B8077E">
        <w:rPr>
          <w:i/>
        </w:rPr>
        <w:t>è</w:t>
      </w:r>
      <w:r>
        <w:rPr>
          <w:i/>
        </w:rPr>
        <w:t>s Doctrine</w:t>
      </w:r>
      <w:r>
        <w:t xml:space="preserve"> [</w:t>
      </w:r>
      <w:r>
        <w:rPr>
          <w:b/>
        </w:rPr>
        <w:t>?</w:t>
      </w:r>
      <w:r>
        <w:t>].</w:t>
      </w:r>
    </w:p>
  </w:footnote>
  <w:footnote w:id="55">
    <w:p w14:paraId="2B31FBD8" w14:textId="77777777" w:rsidR="000F7843" w:rsidRPr="00D85D61" w:rsidRDefault="000F7843" w:rsidP="0028649C">
      <w:pPr>
        <w:pStyle w:val="FootnoteText"/>
        <w:spacing w:line="240" w:lineRule="auto"/>
        <w:ind w:left="720" w:hanging="720"/>
      </w:pPr>
      <w:r>
        <w:rPr>
          <w:rStyle w:val="FootnoteReference"/>
        </w:rPr>
        <w:footnoteRef/>
      </w:r>
      <w:r>
        <w:t xml:space="preserve"> </w:t>
      </w:r>
      <w:r>
        <w:tab/>
        <w:t xml:space="preserve">See generally </w:t>
      </w:r>
      <w:smartTag w:uri="urn:schemas-microsoft-com:office:smarttags" w:element="City">
        <w:smartTag w:uri="urn:schemas-microsoft-com:office:smarttags" w:element="place">
          <w:r>
            <w:t>Sheridan</w:t>
          </w:r>
        </w:smartTag>
      </w:smartTag>
      <w:r>
        <w:t xml:space="preserve"> and Delaney, </w:t>
      </w:r>
      <w:r>
        <w:rPr>
          <w:i/>
        </w:rPr>
        <w:t>The Cy-pr</w:t>
      </w:r>
      <w:r w:rsidRPr="00B8077E">
        <w:rPr>
          <w:i/>
        </w:rPr>
        <w:t>è</w:t>
      </w:r>
      <w:r>
        <w:rPr>
          <w:i/>
        </w:rPr>
        <w:t>s Doctrine</w:t>
      </w:r>
      <w:r>
        <w:t>.</w:t>
      </w:r>
    </w:p>
  </w:footnote>
  <w:footnote w:id="56">
    <w:p w14:paraId="37975FD1" w14:textId="77777777" w:rsidR="000F7843" w:rsidRPr="0028649C" w:rsidRDefault="000F7843" w:rsidP="0028649C">
      <w:pPr>
        <w:pStyle w:val="FootnoteText"/>
        <w:spacing w:line="240" w:lineRule="auto"/>
        <w:ind w:left="720" w:hanging="720"/>
      </w:pPr>
      <w:r>
        <w:rPr>
          <w:rStyle w:val="FootnoteReference"/>
        </w:rPr>
        <w:footnoteRef/>
      </w:r>
      <w:r>
        <w:t xml:space="preserve"> </w:t>
      </w:r>
      <w:r>
        <w:tab/>
        <w:t xml:space="preserve">This provision is reflected in other jurisdictions. See, for example, </w:t>
      </w:r>
      <w:r>
        <w:rPr>
          <w:i/>
        </w:rPr>
        <w:t xml:space="preserve">Charities Act </w:t>
      </w:r>
      <w:r>
        <w:t>1978 (Vic), Part I.</w:t>
      </w:r>
    </w:p>
  </w:footnote>
  <w:footnote w:id="57">
    <w:p w14:paraId="4543A04E" w14:textId="77777777" w:rsidR="000F7843" w:rsidRPr="00D85D61" w:rsidRDefault="000F7843" w:rsidP="00D85D61">
      <w:pPr>
        <w:pStyle w:val="FootnoteText"/>
        <w:spacing w:line="240" w:lineRule="auto"/>
        <w:ind w:left="720" w:hanging="720"/>
      </w:pPr>
      <w:r>
        <w:rPr>
          <w:rStyle w:val="FootnoteReference"/>
        </w:rPr>
        <w:footnoteRef/>
      </w:r>
      <w:r>
        <w:t xml:space="preserve"> </w:t>
      </w:r>
      <w:r>
        <w:tab/>
        <w:t xml:space="preserve">See the comments of Duggan J in </w:t>
      </w:r>
      <w:r>
        <w:rPr>
          <w:i/>
        </w:rPr>
        <w:t>Re Estate of Pitt (deceased)</w:t>
      </w:r>
      <w:r>
        <w:t xml:space="preserve"> (2002) 84 SASR 109 at [43] and [44].</w:t>
      </w:r>
    </w:p>
  </w:footnote>
  <w:footnote w:id="58">
    <w:p w14:paraId="4E699FD6" w14:textId="77777777" w:rsidR="000F7843" w:rsidRDefault="000F7843" w:rsidP="009D5BF3">
      <w:pPr>
        <w:pStyle w:val="FootnoteText"/>
        <w:spacing w:line="240" w:lineRule="auto"/>
        <w:ind w:left="720" w:hanging="720"/>
      </w:pPr>
      <w:r>
        <w:rPr>
          <w:rStyle w:val="FootnoteReference"/>
        </w:rPr>
        <w:footnoteRef/>
      </w:r>
      <w:r>
        <w:t xml:space="preserve"> </w:t>
      </w:r>
      <w:r>
        <w:tab/>
      </w:r>
      <w:r w:rsidRPr="00FC3487">
        <w:rPr>
          <w:i/>
        </w:rPr>
        <w:t>Trustees of the Kean Memorial Trust Fund v Attorney-General (SA)</w:t>
      </w:r>
      <w:r w:rsidRPr="00FC3487">
        <w:t xml:space="preserve"> (2003) 86 SASR 449 at 463, [55]-[56].</w:t>
      </w:r>
    </w:p>
  </w:footnote>
  <w:footnote w:id="59">
    <w:p w14:paraId="4525A3DE" w14:textId="77777777" w:rsidR="000F7843" w:rsidRPr="009D5BF3" w:rsidRDefault="000F7843" w:rsidP="009D5BF3">
      <w:pPr>
        <w:pStyle w:val="FootnoteText"/>
        <w:spacing w:line="240" w:lineRule="auto"/>
        <w:ind w:left="720" w:hanging="720"/>
      </w:pPr>
      <w:r>
        <w:rPr>
          <w:rStyle w:val="FootnoteReference"/>
        </w:rPr>
        <w:footnoteRef/>
      </w:r>
      <w:r>
        <w:t xml:space="preserve"> </w:t>
      </w:r>
      <w:r>
        <w:tab/>
      </w:r>
      <w:r>
        <w:rPr>
          <w:i/>
        </w:rPr>
        <w:t xml:space="preserve">Royal North Shore Hospital of Sydney v AG (NSW) </w:t>
      </w:r>
      <w:r>
        <w:t xml:space="preserve">(1938) 60 CLR 396 at 428 (Dixon J); and </w:t>
      </w:r>
      <w:r>
        <w:rPr>
          <w:i/>
        </w:rPr>
        <w:t xml:space="preserve">AG (NSW) v Perpetual Trustee Co Ltd </w:t>
      </w:r>
      <w:r>
        <w:t>(1940) 63 CLR 209 at 216-7 (Latham CJ) and 227-8 (</w:t>
      </w:r>
      <w:smartTag w:uri="urn:schemas-microsoft-com:office:smarttags" w:element="City">
        <w:smartTag w:uri="urn:schemas-microsoft-com:office:smarttags" w:element="place">
          <w:r>
            <w:t>Dixon</w:t>
          </w:r>
        </w:smartTag>
      </w:smartTag>
      <w:r>
        <w:t xml:space="preserve"> and Evatt JJ)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546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03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E5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04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78D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32F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82E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A06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27A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C4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4EEB89E"/>
    <w:lvl w:ilvl="0">
      <w:start w:val="1"/>
      <w:numFmt w:val="decimal"/>
      <w:lvlText w:val="%1"/>
      <w:lvlJc w:val="left"/>
      <w:pPr>
        <w:tabs>
          <w:tab w:val="num" w:pos="0"/>
        </w:tabs>
        <w:ind w:left="720" w:hanging="720"/>
      </w:pPr>
      <w:rPr>
        <w:rFonts w:cs="Times New Roman"/>
        <w:sz w:val="20"/>
      </w:rPr>
    </w:lvl>
    <w:lvl w:ilvl="1">
      <w:start w:val="1"/>
      <w:numFmt w:val="lowerLetter"/>
      <w:lvlText w:val="(%2)"/>
      <w:lvlJc w:val="left"/>
      <w:pPr>
        <w:tabs>
          <w:tab w:val="num" w:pos="0"/>
        </w:tabs>
        <w:ind w:left="1440" w:hanging="720"/>
      </w:pPr>
      <w:rPr>
        <w:rFonts w:cs="Times New Roman"/>
      </w:rPr>
    </w:lvl>
    <w:lvl w:ilvl="2">
      <w:start w:val="1"/>
      <w:numFmt w:val="lowerRoman"/>
      <w:lvlText w:val="(%3)"/>
      <w:lvlJc w:val="left"/>
      <w:pPr>
        <w:tabs>
          <w:tab w:val="num" w:pos="0"/>
        </w:tabs>
        <w:ind w:left="2160" w:hanging="720"/>
      </w:pPr>
      <w:rPr>
        <w:rFonts w:cs="Times New Roman"/>
      </w:rPr>
    </w:lvl>
    <w:lvl w:ilvl="3">
      <w:start w:val="1"/>
      <w:numFmt w:val="lowerLetter"/>
      <w:lvlText w:val="%4)"/>
      <w:lvlJc w:val="left"/>
      <w:pPr>
        <w:tabs>
          <w:tab w:val="num" w:pos="0"/>
        </w:tabs>
        <w:ind w:left="2880" w:hanging="720"/>
      </w:pPr>
      <w:rPr>
        <w:rFonts w:cs="Times New Roman"/>
      </w:rPr>
    </w:lvl>
    <w:lvl w:ilvl="4">
      <w:start w:val="1"/>
      <w:numFmt w:val="decimal"/>
      <w:pStyle w:val="Heading5"/>
      <w:lvlText w:val="(%5)"/>
      <w:lvlJc w:val="left"/>
      <w:pPr>
        <w:tabs>
          <w:tab w:val="num" w:pos="0"/>
        </w:tabs>
        <w:ind w:left="3600" w:hanging="720"/>
      </w:pPr>
      <w:rPr>
        <w:rFonts w:cs="Times New Roman"/>
      </w:rPr>
    </w:lvl>
    <w:lvl w:ilvl="5">
      <w:start w:val="1"/>
      <w:numFmt w:val="lowerLetter"/>
      <w:pStyle w:val="Heading6"/>
      <w:lvlText w:val="(%6)"/>
      <w:lvlJc w:val="left"/>
      <w:pPr>
        <w:tabs>
          <w:tab w:val="num" w:pos="0"/>
        </w:tabs>
        <w:ind w:left="4320" w:hanging="720"/>
      </w:pPr>
      <w:rPr>
        <w:rFonts w:cs="Times New Roman"/>
      </w:rPr>
    </w:lvl>
    <w:lvl w:ilvl="6">
      <w:start w:val="1"/>
      <w:numFmt w:val="lowerRoman"/>
      <w:pStyle w:val="Heading7"/>
      <w:lvlText w:val="(%7)"/>
      <w:lvlJc w:val="left"/>
      <w:pPr>
        <w:tabs>
          <w:tab w:val="num" w:pos="0"/>
        </w:tabs>
        <w:ind w:left="5040" w:hanging="720"/>
      </w:pPr>
      <w:rPr>
        <w:rFonts w:cs="Times New Roman"/>
      </w:rPr>
    </w:lvl>
    <w:lvl w:ilvl="7">
      <w:start w:val="1"/>
      <w:numFmt w:val="lowerLetter"/>
      <w:pStyle w:val="Heading8"/>
      <w:lvlText w:val="(%8)"/>
      <w:lvlJc w:val="left"/>
      <w:pPr>
        <w:tabs>
          <w:tab w:val="num" w:pos="0"/>
        </w:tabs>
        <w:ind w:left="5760" w:hanging="720"/>
      </w:pPr>
      <w:rPr>
        <w:rFonts w:cs="Times New Roman"/>
      </w:rPr>
    </w:lvl>
    <w:lvl w:ilvl="8">
      <w:start w:val="1"/>
      <w:numFmt w:val="lowerRoman"/>
      <w:pStyle w:val="Heading9"/>
      <w:lvlText w:val="(%9)"/>
      <w:lvlJc w:val="left"/>
      <w:pPr>
        <w:tabs>
          <w:tab w:val="num" w:pos="0"/>
        </w:tabs>
        <w:ind w:left="6480" w:hanging="720"/>
      </w:pPr>
      <w:rPr>
        <w:rFonts w:cs="Times New Roman"/>
      </w:rPr>
    </w:lvl>
  </w:abstractNum>
  <w:abstractNum w:abstractNumId="11" w15:restartNumberingAfterBreak="0">
    <w:nsid w:val="089E55B8"/>
    <w:multiLevelType w:val="multilevel"/>
    <w:tmpl w:val="7430C5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E4DB2"/>
    <w:multiLevelType w:val="hybridMultilevel"/>
    <w:tmpl w:val="965241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71D14"/>
    <w:multiLevelType w:val="multilevel"/>
    <w:tmpl w:val="96BC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4A2E08"/>
    <w:multiLevelType w:val="hybridMultilevel"/>
    <w:tmpl w:val="3378E05C"/>
    <w:lvl w:ilvl="0" w:tplc="5732967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360"/>
        </w:tabs>
        <w:ind w:left="360" w:hanging="360"/>
      </w:pPr>
    </w:lvl>
    <w:lvl w:ilvl="4" w:tplc="0C090019" w:tentative="1">
      <w:start w:val="1"/>
      <w:numFmt w:val="lowerLetter"/>
      <w:lvlText w:val="%5."/>
      <w:lvlJc w:val="left"/>
      <w:pPr>
        <w:tabs>
          <w:tab w:val="num" w:pos="1080"/>
        </w:tabs>
        <w:ind w:left="1080" w:hanging="360"/>
      </w:pPr>
    </w:lvl>
    <w:lvl w:ilvl="5" w:tplc="0C09001B" w:tentative="1">
      <w:start w:val="1"/>
      <w:numFmt w:val="lowerRoman"/>
      <w:lvlText w:val="%6."/>
      <w:lvlJc w:val="right"/>
      <w:pPr>
        <w:tabs>
          <w:tab w:val="num" w:pos="1800"/>
        </w:tabs>
        <w:ind w:left="1800" w:hanging="180"/>
      </w:pPr>
    </w:lvl>
    <w:lvl w:ilvl="6" w:tplc="0C09000F" w:tentative="1">
      <w:start w:val="1"/>
      <w:numFmt w:val="decimal"/>
      <w:lvlText w:val="%7."/>
      <w:lvlJc w:val="left"/>
      <w:pPr>
        <w:tabs>
          <w:tab w:val="num" w:pos="2520"/>
        </w:tabs>
        <w:ind w:left="2520" w:hanging="360"/>
      </w:pPr>
    </w:lvl>
    <w:lvl w:ilvl="7" w:tplc="0C090019" w:tentative="1">
      <w:start w:val="1"/>
      <w:numFmt w:val="lowerLetter"/>
      <w:lvlText w:val="%8."/>
      <w:lvlJc w:val="left"/>
      <w:pPr>
        <w:tabs>
          <w:tab w:val="num" w:pos="3240"/>
        </w:tabs>
        <w:ind w:left="3240" w:hanging="360"/>
      </w:pPr>
    </w:lvl>
    <w:lvl w:ilvl="8" w:tplc="0C09001B" w:tentative="1">
      <w:start w:val="1"/>
      <w:numFmt w:val="lowerRoman"/>
      <w:lvlText w:val="%9."/>
      <w:lvlJc w:val="right"/>
      <w:pPr>
        <w:tabs>
          <w:tab w:val="num" w:pos="3960"/>
        </w:tabs>
        <w:ind w:left="3960" w:hanging="180"/>
      </w:pPr>
    </w:lvl>
  </w:abstractNum>
  <w:abstractNum w:abstractNumId="15" w15:restartNumberingAfterBreak="0">
    <w:nsid w:val="1FA070F5"/>
    <w:multiLevelType w:val="hybridMultilevel"/>
    <w:tmpl w:val="7430C5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4D16F0"/>
    <w:multiLevelType w:val="hybridMultilevel"/>
    <w:tmpl w:val="E38ACDF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787B69"/>
    <w:multiLevelType w:val="hybridMultilevel"/>
    <w:tmpl w:val="990845F6"/>
    <w:lvl w:ilvl="0" w:tplc="3C54F188">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5793AAE"/>
    <w:multiLevelType w:val="hybridMultilevel"/>
    <w:tmpl w:val="913063FC"/>
    <w:lvl w:ilvl="0" w:tplc="C3786BA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B2F5DC5"/>
    <w:multiLevelType w:val="hybridMultilevel"/>
    <w:tmpl w:val="E570ADC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DF60B1"/>
    <w:multiLevelType w:val="singleLevel"/>
    <w:tmpl w:val="B672C992"/>
    <w:lvl w:ilvl="0">
      <w:start w:val="1"/>
      <w:numFmt w:val="decimal"/>
      <w:lvlText w:val="%1"/>
      <w:lvlJc w:val="left"/>
      <w:pPr>
        <w:tabs>
          <w:tab w:val="num" w:pos="360"/>
        </w:tabs>
        <w:ind w:left="0" w:firstLine="0"/>
      </w:pPr>
      <w:rPr>
        <w:sz w:val="20"/>
      </w:rPr>
    </w:lvl>
  </w:abstractNum>
  <w:abstractNum w:abstractNumId="21" w15:restartNumberingAfterBreak="0">
    <w:nsid w:val="33BB37A0"/>
    <w:multiLevelType w:val="hybridMultilevel"/>
    <w:tmpl w:val="77A8CF1E"/>
    <w:lvl w:ilvl="0" w:tplc="39F4D7AA">
      <w:start w:val="1"/>
      <w:numFmt w:val="bullet"/>
      <w:lvlText w:val=""/>
      <w:lvlJc w:val="left"/>
      <w:pPr>
        <w:tabs>
          <w:tab w:val="num" w:pos="567"/>
        </w:tabs>
        <w:ind w:left="56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8638F"/>
    <w:multiLevelType w:val="hybridMultilevel"/>
    <w:tmpl w:val="7F0683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FD2871"/>
    <w:multiLevelType w:val="hybridMultilevel"/>
    <w:tmpl w:val="4EAEB752"/>
    <w:lvl w:ilvl="0" w:tplc="39F4D7AA">
      <w:start w:val="1"/>
      <w:numFmt w:val="bullet"/>
      <w:lvlText w:val=""/>
      <w:lvlJc w:val="left"/>
      <w:pPr>
        <w:tabs>
          <w:tab w:val="num" w:pos="567"/>
        </w:tabs>
        <w:ind w:left="56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E5A5D"/>
    <w:multiLevelType w:val="hybridMultilevel"/>
    <w:tmpl w:val="D2C450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504D4A"/>
    <w:multiLevelType w:val="hybridMultilevel"/>
    <w:tmpl w:val="33BC2A32"/>
    <w:lvl w:ilvl="0" w:tplc="3C54F188">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B9323C"/>
    <w:multiLevelType w:val="multilevel"/>
    <w:tmpl w:val="F2762A28"/>
    <w:lvl w:ilvl="0">
      <w:start w:val="1"/>
      <w:numFmt w:val="decimal"/>
      <w:pStyle w:val="AdviceBodyText"/>
      <w:lvlText w:val="%1."/>
      <w:lvlJc w:val="left"/>
      <w:pPr>
        <w:tabs>
          <w:tab w:val="num" w:pos="567"/>
        </w:tabs>
        <w:ind w:left="567" w:hanging="567"/>
      </w:pPr>
      <w:rPr>
        <w:rFonts w:cs="Times New Roman"/>
        <w:u w:val="none"/>
      </w:rPr>
    </w:lvl>
    <w:lvl w:ilvl="1">
      <w:start w:val="1"/>
      <w:numFmt w:val="decimal"/>
      <w:lvlText w:val="(%2)"/>
      <w:lvlJc w:val="left"/>
      <w:pPr>
        <w:tabs>
          <w:tab w:val="num" w:pos="1134"/>
        </w:tabs>
        <w:ind w:left="1134" w:hanging="567"/>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decimal"/>
      <w:lvlText w:val="1.%5"/>
      <w:lvlJc w:val="left"/>
      <w:pPr>
        <w:tabs>
          <w:tab w:val="num" w:pos="3649"/>
        </w:tabs>
        <w:ind w:left="3402" w:hanging="113"/>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5E1A564F"/>
    <w:multiLevelType w:val="hybridMultilevel"/>
    <w:tmpl w:val="B13E34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A7731B"/>
    <w:multiLevelType w:val="multilevel"/>
    <w:tmpl w:val="33BC2A3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8E34B0"/>
    <w:multiLevelType w:val="hybridMultilevel"/>
    <w:tmpl w:val="00E81F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268D6"/>
    <w:multiLevelType w:val="hybridMultilevel"/>
    <w:tmpl w:val="6AD4BDB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25"/>
  </w:num>
  <w:num w:numId="4">
    <w:abstractNumId w:val="28"/>
  </w:num>
  <w:num w:numId="5">
    <w:abstractNumId w:val="16"/>
  </w:num>
  <w:num w:numId="6">
    <w:abstractNumId w:val="24"/>
  </w:num>
  <w:num w:numId="7">
    <w:abstractNumId w:val="29"/>
  </w:num>
  <w:num w:numId="8">
    <w:abstractNumId w:val="30"/>
  </w:num>
  <w:num w:numId="9">
    <w:abstractNumId w:val="17"/>
  </w:num>
  <w:num w:numId="10">
    <w:abstractNumId w:val="18"/>
  </w:num>
  <w:num w:numId="11">
    <w:abstractNumId w:val="22"/>
  </w:num>
  <w:num w:numId="12">
    <w:abstractNumId w:val="12"/>
  </w:num>
  <w:num w:numId="13">
    <w:abstractNumId w:val="19"/>
  </w:num>
  <w:num w:numId="14">
    <w:abstractNumId w:val="20"/>
  </w:num>
  <w:num w:numId="15">
    <w:abstractNumId w:val="23"/>
  </w:num>
  <w:num w:numId="16">
    <w:abstractNumId w:val="14"/>
  </w:num>
  <w:num w:numId="17">
    <w:abstractNumId w:val="27"/>
  </w:num>
  <w:num w:numId="18">
    <w:abstractNumId w:val="26"/>
  </w:num>
  <w:num w:numId="19">
    <w:abstractNumId w:val="10"/>
  </w:num>
  <w:num w:numId="20">
    <w:abstractNumId w:val="13"/>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BA"/>
    <w:rsid w:val="00003898"/>
    <w:rsid w:val="000042B5"/>
    <w:rsid w:val="00005C27"/>
    <w:rsid w:val="000127BD"/>
    <w:rsid w:val="00014B5B"/>
    <w:rsid w:val="00014D7F"/>
    <w:rsid w:val="00015EAE"/>
    <w:rsid w:val="00020B72"/>
    <w:rsid w:val="000222BC"/>
    <w:rsid w:val="00023DCB"/>
    <w:rsid w:val="0002463F"/>
    <w:rsid w:val="00025884"/>
    <w:rsid w:val="000304F0"/>
    <w:rsid w:val="00032947"/>
    <w:rsid w:val="000343FD"/>
    <w:rsid w:val="00034C1F"/>
    <w:rsid w:val="00037C77"/>
    <w:rsid w:val="0004618B"/>
    <w:rsid w:val="00054FDB"/>
    <w:rsid w:val="00065CF0"/>
    <w:rsid w:val="00066509"/>
    <w:rsid w:val="0007631F"/>
    <w:rsid w:val="00077BB9"/>
    <w:rsid w:val="00081ABB"/>
    <w:rsid w:val="00087E34"/>
    <w:rsid w:val="000923CB"/>
    <w:rsid w:val="000C39E2"/>
    <w:rsid w:val="000C417C"/>
    <w:rsid w:val="000C6BD1"/>
    <w:rsid w:val="000D3400"/>
    <w:rsid w:val="000D5292"/>
    <w:rsid w:val="000E290A"/>
    <w:rsid w:val="000E6A10"/>
    <w:rsid w:val="000E76FE"/>
    <w:rsid w:val="000F7843"/>
    <w:rsid w:val="00102887"/>
    <w:rsid w:val="00110E65"/>
    <w:rsid w:val="00114ABD"/>
    <w:rsid w:val="00114C94"/>
    <w:rsid w:val="001228B1"/>
    <w:rsid w:val="0012304D"/>
    <w:rsid w:val="00130A16"/>
    <w:rsid w:val="001320C9"/>
    <w:rsid w:val="00141759"/>
    <w:rsid w:val="001466FA"/>
    <w:rsid w:val="00151094"/>
    <w:rsid w:val="001528D5"/>
    <w:rsid w:val="00154E2C"/>
    <w:rsid w:val="00157A6F"/>
    <w:rsid w:val="00161968"/>
    <w:rsid w:val="00164496"/>
    <w:rsid w:val="00166066"/>
    <w:rsid w:val="001660A4"/>
    <w:rsid w:val="0017622E"/>
    <w:rsid w:val="001767CC"/>
    <w:rsid w:val="00182271"/>
    <w:rsid w:val="0018391C"/>
    <w:rsid w:val="001840B5"/>
    <w:rsid w:val="001A0A34"/>
    <w:rsid w:val="001A4735"/>
    <w:rsid w:val="001B1D33"/>
    <w:rsid w:val="001B2649"/>
    <w:rsid w:val="001B6D0A"/>
    <w:rsid w:val="001C49FF"/>
    <w:rsid w:val="001C4F50"/>
    <w:rsid w:val="001D046E"/>
    <w:rsid w:val="001D2920"/>
    <w:rsid w:val="001E4A1F"/>
    <w:rsid w:val="001E5F78"/>
    <w:rsid w:val="00200676"/>
    <w:rsid w:val="002173CB"/>
    <w:rsid w:val="00227DDD"/>
    <w:rsid w:val="00230EFE"/>
    <w:rsid w:val="00237412"/>
    <w:rsid w:val="00237DE5"/>
    <w:rsid w:val="00241747"/>
    <w:rsid w:val="00242A7C"/>
    <w:rsid w:val="00243307"/>
    <w:rsid w:val="00244EE4"/>
    <w:rsid w:val="0024789A"/>
    <w:rsid w:val="0025580E"/>
    <w:rsid w:val="00256A80"/>
    <w:rsid w:val="00256D07"/>
    <w:rsid w:val="00257315"/>
    <w:rsid w:val="00262DC6"/>
    <w:rsid w:val="00266637"/>
    <w:rsid w:val="00272EE9"/>
    <w:rsid w:val="00277C62"/>
    <w:rsid w:val="0028549E"/>
    <w:rsid w:val="0028649C"/>
    <w:rsid w:val="0029019F"/>
    <w:rsid w:val="00290874"/>
    <w:rsid w:val="00292352"/>
    <w:rsid w:val="002A3ED3"/>
    <w:rsid w:val="002A7271"/>
    <w:rsid w:val="002B2E93"/>
    <w:rsid w:val="002C4B64"/>
    <w:rsid w:val="002D03E4"/>
    <w:rsid w:val="002D05E1"/>
    <w:rsid w:val="002E0184"/>
    <w:rsid w:val="002E2456"/>
    <w:rsid w:val="002F1590"/>
    <w:rsid w:val="002F20A0"/>
    <w:rsid w:val="002F4A76"/>
    <w:rsid w:val="002F7D18"/>
    <w:rsid w:val="0030057E"/>
    <w:rsid w:val="003021EE"/>
    <w:rsid w:val="00304811"/>
    <w:rsid w:val="00304ED5"/>
    <w:rsid w:val="00306295"/>
    <w:rsid w:val="00311032"/>
    <w:rsid w:val="003111CF"/>
    <w:rsid w:val="0031470A"/>
    <w:rsid w:val="003158E8"/>
    <w:rsid w:val="00320CB0"/>
    <w:rsid w:val="00325EEA"/>
    <w:rsid w:val="0032623B"/>
    <w:rsid w:val="00332BB4"/>
    <w:rsid w:val="00341424"/>
    <w:rsid w:val="00342BB5"/>
    <w:rsid w:val="003503DC"/>
    <w:rsid w:val="00353AE8"/>
    <w:rsid w:val="0035439F"/>
    <w:rsid w:val="003550A8"/>
    <w:rsid w:val="00356FA5"/>
    <w:rsid w:val="0035708E"/>
    <w:rsid w:val="0036065E"/>
    <w:rsid w:val="0036079F"/>
    <w:rsid w:val="00360CC8"/>
    <w:rsid w:val="003634F7"/>
    <w:rsid w:val="003709D1"/>
    <w:rsid w:val="00372C6C"/>
    <w:rsid w:val="00376836"/>
    <w:rsid w:val="003834BA"/>
    <w:rsid w:val="003839BE"/>
    <w:rsid w:val="003848A1"/>
    <w:rsid w:val="00384B4E"/>
    <w:rsid w:val="0039333F"/>
    <w:rsid w:val="003A2E7E"/>
    <w:rsid w:val="003A3CDF"/>
    <w:rsid w:val="003A3E12"/>
    <w:rsid w:val="003A4D56"/>
    <w:rsid w:val="003B41F9"/>
    <w:rsid w:val="003B5D9A"/>
    <w:rsid w:val="003C6B9B"/>
    <w:rsid w:val="003C72AD"/>
    <w:rsid w:val="003F53F4"/>
    <w:rsid w:val="003F7895"/>
    <w:rsid w:val="00414CD2"/>
    <w:rsid w:val="0042373E"/>
    <w:rsid w:val="0042432F"/>
    <w:rsid w:val="00425EC4"/>
    <w:rsid w:val="004347EB"/>
    <w:rsid w:val="00434C11"/>
    <w:rsid w:val="00456665"/>
    <w:rsid w:val="0047490E"/>
    <w:rsid w:val="00476881"/>
    <w:rsid w:val="00493188"/>
    <w:rsid w:val="00495AB2"/>
    <w:rsid w:val="004964A3"/>
    <w:rsid w:val="00496D3A"/>
    <w:rsid w:val="00497931"/>
    <w:rsid w:val="00497959"/>
    <w:rsid w:val="004B0C34"/>
    <w:rsid w:val="004B2009"/>
    <w:rsid w:val="004B222C"/>
    <w:rsid w:val="004B4C90"/>
    <w:rsid w:val="004B565F"/>
    <w:rsid w:val="004C084C"/>
    <w:rsid w:val="004C09AF"/>
    <w:rsid w:val="004C3EE5"/>
    <w:rsid w:val="004C4ED3"/>
    <w:rsid w:val="004C6391"/>
    <w:rsid w:val="004C7382"/>
    <w:rsid w:val="004D60BA"/>
    <w:rsid w:val="004E0987"/>
    <w:rsid w:val="004E46B8"/>
    <w:rsid w:val="004E5F3A"/>
    <w:rsid w:val="004E6E0A"/>
    <w:rsid w:val="004E6F43"/>
    <w:rsid w:val="004E7F06"/>
    <w:rsid w:val="004F1F3A"/>
    <w:rsid w:val="004F7BBA"/>
    <w:rsid w:val="005032E3"/>
    <w:rsid w:val="00515604"/>
    <w:rsid w:val="00517392"/>
    <w:rsid w:val="005207F2"/>
    <w:rsid w:val="005243D1"/>
    <w:rsid w:val="005247D2"/>
    <w:rsid w:val="005302C7"/>
    <w:rsid w:val="00533BCB"/>
    <w:rsid w:val="00541D2E"/>
    <w:rsid w:val="00542EC1"/>
    <w:rsid w:val="00544D7C"/>
    <w:rsid w:val="005459AB"/>
    <w:rsid w:val="005558FA"/>
    <w:rsid w:val="005575DC"/>
    <w:rsid w:val="00563C68"/>
    <w:rsid w:val="005671D6"/>
    <w:rsid w:val="00567927"/>
    <w:rsid w:val="005742BC"/>
    <w:rsid w:val="00582298"/>
    <w:rsid w:val="005823E4"/>
    <w:rsid w:val="00582650"/>
    <w:rsid w:val="00585408"/>
    <w:rsid w:val="00592CF1"/>
    <w:rsid w:val="005A4823"/>
    <w:rsid w:val="005A6B02"/>
    <w:rsid w:val="005A7324"/>
    <w:rsid w:val="005A7893"/>
    <w:rsid w:val="005B4BEB"/>
    <w:rsid w:val="005C1FA3"/>
    <w:rsid w:val="005C266C"/>
    <w:rsid w:val="005C2BD3"/>
    <w:rsid w:val="005C5AD6"/>
    <w:rsid w:val="005C7E8A"/>
    <w:rsid w:val="005D7CFF"/>
    <w:rsid w:val="005E0CAD"/>
    <w:rsid w:val="005E6CE8"/>
    <w:rsid w:val="005F450C"/>
    <w:rsid w:val="005F4B04"/>
    <w:rsid w:val="005F60E1"/>
    <w:rsid w:val="00621670"/>
    <w:rsid w:val="0062510B"/>
    <w:rsid w:val="00625BA3"/>
    <w:rsid w:val="00631CBD"/>
    <w:rsid w:val="0063498A"/>
    <w:rsid w:val="00636EB9"/>
    <w:rsid w:val="006403B2"/>
    <w:rsid w:val="00660B7B"/>
    <w:rsid w:val="0066234E"/>
    <w:rsid w:val="00665823"/>
    <w:rsid w:val="00670A72"/>
    <w:rsid w:val="00670F80"/>
    <w:rsid w:val="00685E12"/>
    <w:rsid w:val="00687339"/>
    <w:rsid w:val="00695CE0"/>
    <w:rsid w:val="00696F67"/>
    <w:rsid w:val="006A74AB"/>
    <w:rsid w:val="006A7B89"/>
    <w:rsid w:val="006B7B62"/>
    <w:rsid w:val="006C1CD3"/>
    <w:rsid w:val="006C2FA2"/>
    <w:rsid w:val="006D0BD8"/>
    <w:rsid w:val="006D5F4D"/>
    <w:rsid w:val="006D6314"/>
    <w:rsid w:val="006D7FD7"/>
    <w:rsid w:val="006E38E8"/>
    <w:rsid w:val="006E4208"/>
    <w:rsid w:val="006E52D0"/>
    <w:rsid w:val="006F191F"/>
    <w:rsid w:val="007024DA"/>
    <w:rsid w:val="0071111B"/>
    <w:rsid w:val="007258CB"/>
    <w:rsid w:val="0072798E"/>
    <w:rsid w:val="00732A5F"/>
    <w:rsid w:val="00735AF5"/>
    <w:rsid w:val="007400A7"/>
    <w:rsid w:val="00745296"/>
    <w:rsid w:val="00747B22"/>
    <w:rsid w:val="00785CDC"/>
    <w:rsid w:val="00791180"/>
    <w:rsid w:val="007928A1"/>
    <w:rsid w:val="00797919"/>
    <w:rsid w:val="007A743F"/>
    <w:rsid w:val="007C3DE5"/>
    <w:rsid w:val="007C422C"/>
    <w:rsid w:val="007D349C"/>
    <w:rsid w:val="007D4DB0"/>
    <w:rsid w:val="007D506F"/>
    <w:rsid w:val="007E1DD5"/>
    <w:rsid w:val="007E2DA7"/>
    <w:rsid w:val="007E416F"/>
    <w:rsid w:val="007F5036"/>
    <w:rsid w:val="00800502"/>
    <w:rsid w:val="0080174C"/>
    <w:rsid w:val="00803E5C"/>
    <w:rsid w:val="008151EB"/>
    <w:rsid w:val="00820DB5"/>
    <w:rsid w:val="00823ABC"/>
    <w:rsid w:val="00825524"/>
    <w:rsid w:val="0082647C"/>
    <w:rsid w:val="0082700F"/>
    <w:rsid w:val="00827C03"/>
    <w:rsid w:val="008305ED"/>
    <w:rsid w:val="0083066C"/>
    <w:rsid w:val="008307A6"/>
    <w:rsid w:val="00843EEB"/>
    <w:rsid w:val="00852076"/>
    <w:rsid w:val="0085311F"/>
    <w:rsid w:val="0086384F"/>
    <w:rsid w:val="008649D1"/>
    <w:rsid w:val="008673FD"/>
    <w:rsid w:val="008826B5"/>
    <w:rsid w:val="00886993"/>
    <w:rsid w:val="00887C9D"/>
    <w:rsid w:val="0089561B"/>
    <w:rsid w:val="008A0EB4"/>
    <w:rsid w:val="008A39B0"/>
    <w:rsid w:val="008A5D62"/>
    <w:rsid w:val="008A728A"/>
    <w:rsid w:val="008B236C"/>
    <w:rsid w:val="008B4E7C"/>
    <w:rsid w:val="008B649A"/>
    <w:rsid w:val="008B6DDD"/>
    <w:rsid w:val="008C30EB"/>
    <w:rsid w:val="008C6143"/>
    <w:rsid w:val="008D31F9"/>
    <w:rsid w:val="008F1484"/>
    <w:rsid w:val="008F635C"/>
    <w:rsid w:val="008F79E2"/>
    <w:rsid w:val="00901854"/>
    <w:rsid w:val="00913389"/>
    <w:rsid w:val="00916173"/>
    <w:rsid w:val="00916B2C"/>
    <w:rsid w:val="00917055"/>
    <w:rsid w:val="00923590"/>
    <w:rsid w:val="00923ADB"/>
    <w:rsid w:val="0093353F"/>
    <w:rsid w:val="00933F03"/>
    <w:rsid w:val="0093727E"/>
    <w:rsid w:val="00942F73"/>
    <w:rsid w:val="00944F88"/>
    <w:rsid w:val="0095252B"/>
    <w:rsid w:val="00953A80"/>
    <w:rsid w:val="00957CED"/>
    <w:rsid w:val="009626A3"/>
    <w:rsid w:val="00970A57"/>
    <w:rsid w:val="00980ECF"/>
    <w:rsid w:val="00983B4C"/>
    <w:rsid w:val="00985F67"/>
    <w:rsid w:val="009867F3"/>
    <w:rsid w:val="00993551"/>
    <w:rsid w:val="0099472E"/>
    <w:rsid w:val="00994EB1"/>
    <w:rsid w:val="009A2224"/>
    <w:rsid w:val="009A5408"/>
    <w:rsid w:val="009B238D"/>
    <w:rsid w:val="009B4B52"/>
    <w:rsid w:val="009B62D1"/>
    <w:rsid w:val="009C606F"/>
    <w:rsid w:val="009C7C61"/>
    <w:rsid w:val="009D3128"/>
    <w:rsid w:val="009D40FD"/>
    <w:rsid w:val="009D4CC7"/>
    <w:rsid w:val="009D5BF3"/>
    <w:rsid w:val="009E2A30"/>
    <w:rsid w:val="009E5D5D"/>
    <w:rsid w:val="009F0075"/>
    <w:rsid w:val="009F38B9"/>
    <w:rsid w:val="009F735B"/>
    <w:rsid w:val="00A016E6"/>
    <w:rsid w:val="00A065B8"/>
    <w:rsid w:val="00A071C7"/>
    <w:rsid w:val="00A1179C"/>
    <w:rsid w:val="00A11DF2"/>
    <w:rsid w:val="00A15582"/>
    <w:rsid w:val="00A16706"/>
    <w:rsid w:val="00A2280B"/>
    <w:rsid w:val="00A24B58"/>
    <w:rsid w:val="00A24E16"/>
    <w:rsid w:val="00A31694"/>
    <w:rsid w:val="00A37FF3"/>
    <w:rsid w:val="00A41040"/>
    <w:rsid w:val="00A50AF7"/>
    <w:rsid w:val="00A55258"/>
    <w:rsid w:val="00A56947"/>
    <w:rsid w:val="00A57680"/>
    <w:rsid w:val="00A64C90"/>
    <w:rsid w:val="00A66161"/>
    <w:rsid w:val="00A72B92"/>
    <w:rsid w:val="00A81720"/>
    <w:rsid w:val="00A84185"/>
    <w:rsid w:val="00A9514C"/>
    <w:rsid w:val="00A960D1"/>
    <w:rsid w:val="00AA0361"/>
    <w:rsid w:val="00AA11D6"/>
    <w:rsid w:val="00AA4C9C"/>
    <w:rsid w:val="00AA7181"/>
    <w:rsid w:val="00AB2311"/>
    <w:rsid w:val="00AC170C"/>
    <w:rsid w:val="00AC2EB3"/>
    <w:rsid w:val="00AC7DA5"/>
    <w:rsid w:val="00AD08E9"/>
    <w:rsid w:val="00AF0BC6"/>
    <w:rsid w:val="00AF6096"/>
    <w:rsid w:val="00AF65A1"/>
    <w:rsid w:val="00B01C27"/>
    <w:rsid w:val="00B02490"/>
    <w:rsid w:val="00B02600"/>
    <w:rsid w:val="00B03B07"/>
    <w:rsid w:val="00B16A53"/>
    <w:rsid w:val="00B217F0"/>
    <w:rsid w:val="00B22B95"/>
    <w:rsid w:val="00B27A6A"/>
    <w:rsid w:val="00B314FC"/>
    <w:rsid w:val="00B32591"/>
    <w:rsid w:val="00B42AA3"/>
    <w:rsid w:val="00B43232"/>
    <w:rsid w:val="00B440A8"/>
    <w:rsid w:val="00B46E3F"/>
    <w:rsid w:val="00B5397E"/>
    <w:rsid w:val="00B56DC9"/>
    <w:rsid w:val="00B63C91"/>
    <w:rsid w:val="00B65086"/>
    <w:rsid w:val="00B66B65"/>
    <w:rsid w:val="00B746E4"/>
    <w:rsid w:val="00B76891"/>
    <w:rsid w:val="00B8077E"/>
    <w:rsid w:val="00B914D2"/>
    <w:rsid w:val="00B95089"/>
    <w:rsid w:val="00BA0409"/>
    <w:rsid w:val="00BA7637"/>
    <w:rsid w:val="00BB13E4"/>
    <w:rsid w:val="00BB59DA"/>
    <w:rsid w:val="00BC6EBE"/>
    <w:rsid w:val="00BC7879"/>
    <w:rsid w:val="00BD36D1"/>
    <w:rsid w:val="00BD4000"/>
    <w:rsid w:val="00BD52DA"/>
    <w:rsid w:val="00BD5F41"/>
    <w:rsid w:val="00BD67BE"/>
    <w:rsid w:val="00BE1F65"/>
    <w:rsid w:val="00BE7F0E"/>
    <w:rsid w:val="00BF6716"/>
    <w:rsid w:val="00C02E79"/>
    <w:rsid w:val="00C054AB"/>
    <w:rsid w:val="00C12A2D"/>
    <w:rsid w:val="00C163E7"/>
    <w:rsid w:val="00C200F3"/>
    <w:rsid w:val="00C227AC"/>
    <w:rsid w:val="00C32739"/>
    <w:rsid w:val="00C42360"/>
    <w:rsid w:val="00C453F3"/>
    <w:rsid w:val="00C54201"/>
    <w:rsid w:val="00C55C37"/>
    <w:rsid w:val="00C62548"/>
    <w:rsid w:val="00C66B3E"/>
    <w:rsid w:val="00C73A5F"/>
    <w:rsid w:val="00C868D5"/>
    <w:rsid w:val="00C87E3A"/>
    <w:rsid w:val="00C91E8B"/>
    <w:rsid w:val="00C92927"/>
    <w:rsid w:val="00C92C47"/>
    <w:rsid w:val="00CA1FB0"/>
    <w:rsid w:val="00CA6D15"/>
    <w:rsid w:val="00CB297E"/>
    <w:rsid w:val="00CB2F05"/>
    <w:rsid w:val="00CB37C0"/>
    <w:rsid w:val="00CD1668"/>
    <w:rsid w:val="00CD268A"/>
    <w:rsid w:val="00CD600E"/>
    <w:rsid w:val="00CF1FFB"/>
    <w:rsid w:val="00CF20B9"/>
    <w:rsid w:val="00CF49D3"/>
    <w:rsid w:val="00CF507B"/>
    <w:rsid w:val="00CF53A2"/>
    <w:rsid w:val="00CF5E00"/>
    <w:rsid w:val="00D00291"/>
    <w:rsid w:val="00D02715"/>
    <w:rsid w:val="00D05940"/>
    <w:rsid w:val="00D06CB0"/>
    <w:rsid w:val="00D1580E"/>
    <w:rsid w:val="00D162D0"/>
    <w:rsid w:val="00D216FF"/>
    <w:rsid w:val="00D24BB0"/>
    <w:rsid w:val="00D25BAD"/>
    <w:rsid w:val="00D275AC"/>
    <w:rsid w:val="00D36E3A"/>
    <w:rsid w:val="00D36F7C"/>
    <w:rsid w:val="00D43A44"/>
    <w:rsid w:val="00D533C3"/>
    <w:rsid w:val="00D5601C"/>
    <w:rsid w:val="00D716FE"/>
    <w:rsid w:val="00D71E06"/>
    <w:rsid w:val="00D735ED"/>
    <w:rsid w:val="00D7482D"/>
    <w:rsid w:val="00D748EC"/>
    <w:rsid w:val="00D838B3"/>
    <w:rsid w:val="00D83A2E"/>
    <w:rsid w:val="00D85D61"/>
    <w:rsid w:val="00D86E05"/>
    <w:rsid w:val="00D8765C"/>
    <w:rsid w:val="00D90188"/>
    <w:rsid w:val="00D90986"/>
    <w:rsid w:val="00D909FF"/>
    <w:rsid w:val="00D96D8D"/>
    <w:rsid w:val="00DA1D1A"/>
    <w:rsid w:val="00DA5341"/>
    <w:rsid w:val="00DB0A5A"/>
    <w:rsid w:val="00DB3EE0"/>
    <w:rsid w:val="00DB6838"/>
    <w:rsid w:val="00DC395E"/>
    <w:rsid w:val="00DE02B5"/>
    <w:rsid w:val="00DE741D"/>
    <w:rsid w:val="00DE7EB0"/>
    <w:rsid w:val="00E076F5"/>
    <w:rsid w:val="00E12882"/>
    <w:rsid w:val="00E25CDD"/>
    <w:rsid w:val="00E27865"/>
    <w:rsid w:val="00E30B71"/>
    <w:rsid w:val="00E320BF"/>
    <w:rsid w:val="00E34166"/>
    <w:rsid w:val="00E4463A"/>
    <w:rsid w:val="00E44CC8"/>
    <w:rsid w:val="00E5360D"/>
    <w:rsid w:val="00E5543D"/>
    <w:rsid w:val="00E63ABB"/>
    <w:rsid w:val="00E676E7"/>
    <w:rsid w:val="00E74FA1"/>
    <w:rsid w:val="00E9437A"/>
    <w:rsid w:val="00E9541F"/>
    <w:rsid w:val="00EA4107"/>
    <w:rsid w:val="00EB5174"/>
    <w:rsid w:val="00EB552B"/>
    <w:rsid w:val="00EC6EB9"/>
    <w:rsid w:val="00ED496C"/>
    <w:rsid w:val="00EE35CC"/>
    <w:rsid w:val="00EE481C"/>
    <w:rsid w:val="00F053A0"/>
    <w:rsid w:val="00F17BAE"/>
    <w:rsid w:val="00F22E73"/>
    <w:rsid w:val="00F25DC2"/>
    <w:rsid w:val="00F27571"/>
    <w:rsid w:val="00F31293"/>
    <w:rsid w:val="00F463E5"/>
    <w:rsid w:val="00F54804"/>
    <w:rsid w:val="00F55B8C"/>
    <w:rsid w:val="00F578CE"/>
    <w:rsid w:val="00F607AD"/>
    <w:rsid w:val="00F75B1E"/>
    <w:rsid w:val="00F76B96"/>
    <w:rsid w:val="00F83E3E"/>
    <w:rsid w:val="00F97E13"/>
    <w:rsid w:val="00FA4CED"/>
    <w:rsid w:val="00FA5287"/>
    <w:rsid w:val="00FA6923"/>
    <w:rsid w:val="00FB555D"/>
    <w:rsid w:val="00FB6465"/>
    <w:rsid w:val="00FC0635"/>
    <w:rsid w:val="00FC3487"/>
    <w:rsid w:val="00FC6077"/>
    <w:rsid w:val="00FD0C37"/>
    <w:rsid w:val="00FD1A5B"/>
    <w:rsid w:val="00FD63A9"/>
    <w:rsid w:val="00FE3B46"/>
    <w:rsid w:val="00FE633C"/>
    <w:rsid w:val="00FE70A6"/>
    <w:rsid w:val="00FE7537"/>
    <w:rsid w:val="00FF2BA0"/>
    <w:rsid w:val="00FF4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4:docId w14:val="4940404F"/>
  <w15:chartTrackingRefBased/>
  <w15:docId w15:val="{5229AA3A-73EE-4C79-9B40-46E9C963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DF"/>
    <w:pPr>
      <w:spacing w:line="360" w:lineRule="auto"/>
      <w:jc w:val="both"/>
    </w:pPr>
    <w:rPr>
      <w:rFonts w:ascii="Book Antiqua" w:hAnsi="Book Antiqua"/>
      <w:sz w:val="24"/>
      <w:szCs w:val="24"/>
    </w:rPr>
  </w:style>
  <w:style w:type="paragraph" w:styleId="Heading1">
    <w:name w:val="heading 1"/>
    <w:basedOn w:val="Normal"/>
    <w:qFormat/>
    <w:rsid w:val="004E0987"/>
    <w:pPr>
      <w:jc w:val="center"/>
      <w:outlineLvl w:val="0"/>
    </w:pPr>
    <w:rPr>
      <w:rFonts w:ascii="Arial" w:hAnsi="Arial"/>
      <w:b/>
      <w:sz w:val="40"/>
      <w:u w:val="single"/>
    </w:rPr>
  </w:style>
  <w:style w:type="paragraph" w:styleId="Heading2">
    <w:name w:val="heading 2"/>
    <w:basedOn w:val="Normal"/>
    <w:next w:val="Normal"/>
    <w:qFormat/>
    <w:rsid w:val="009F735B"/>
    <w:pPr>
      <w:keepNext/>
      <w:spacing w:before="600" w:after="240"/>
      <w:outlineLvl w:val="1"/>
    </w:pPr>
    <w:rPr>
      <w:b/>
    </w:rPr>
  </w:style>
  <w:style w:type="paragraph" w:styleId="Heading3">
    <w:name w:val="heading 3"/>
    <w:basedOn w:val="Normal"/>
    <w:next w:val="Normal"/>
    <w:qFormat/>
    <w:rsid w:val="009F735B"/>
    <w:pPr>
      <w:keepNext/>
      <w:autoSpaceDE w:val="0"/>
      <w:autoSpaceDN w:val="0"/>
      <w:adjustRightInd w:val="0"/>
      <w:spacing w:before="600" w:after="240"/>
      <w:outlineLvl w:val="2"/>
    </w:pPr>
    <w:rPr>
      <w:rFonts w:cs="Bembo"/>
      <w:b/>
      <w:i/>
    </w:rPr>
  </w:style>
  <w:style w:type="paragraph" w:styleId="Heading4">
    <w:name w:val="heading 4"/>
    <w:basedOn w:val="Normal"/>
    <w:next w:val="Normal"/>
    <w:qFormat/>
    <w:rsid w:val="00797919"/>
    <w:pPr>
      <w:keepNext/>
      <w:spacing w:before="240" w:after="60"/>
      <w:outlineLvl w:val="3"/>
    </w:pPr>
    <w:rPr>
      <w:rFonts w:ascii="Times New Roman" w:hAnsi="Times New Roman"/>
      <w:bCs/>
      <w:szCs w:val="28"/>
      <w:u w:val="single"/>
    </w:rPr>
  </w:style>
  <w:style w:type="paragraph" w:styleId="Heading5">
    <w:name w:val="heading 5"/>
    <w:basedOn w:val="Normal"/>
    <w:next w:val="Normal"/>
    <w:qFormat/>
    <w:rsid w:val="0028549E"/>
    <w:pPr>
      <w:keepNext/>
      <w:widowControl w:val="0"/>
      <w:numPr>
        <w:ilvl w:val="4"/>
        <w:numId w:val="19"/>
      </w:numPr>
      <w:tabs>
        <w:tab w:val="clear" w:pos="0"/>
        <w:tab w:val="num" w:pos="1800"/>
      </w:tabs>
      <w:ind w:left="0" w:firstLine="0"/>
      <w:outlineLvl w:val="4"/>
    </w:pPr>
    <w:rPr>
      <w:rFonts w:ascii="Arial" w:hAnsi="Arial"/>
      <w:b/>
      <w:kern w:val="28"/>
      <w:szCs w:val="20"/>
      <w:lang w:val="en-US" w:eastAsia="en-US"/>
    </w:rPr>
  </w:style>
  <w:style w:type="paragraph" w:styleId="Heading6">
    <w:name w:val="heading 6"/>
    <w:basedOn w:val="Normal"/>
    <w:next w:val="Normal"/>
    <w:qFormat/>
    <w:rsid w:val="0028549E"/>
    <w:pPr>
      <w:keepNext/>
      <w:widowControl w:val="0"/>
      <w:numPr>
        <w:ilvl w:val="5"/>
        <w:numId w:val="19"/>
      </w:numPr>
      <w:tabs>
        <w:tab w:val="clear" w:pos="0"/>
        <w:tab w:val="num" w:pos="2160"/>
      </w:tabs>
      <w:spacing w:before="120" w:after="80" w:line="240" w:lineRule="atLeast"/>
      <w:ind w:left="2160" w:hanging="360"/>
      <w:outlineLvl w:val="5"/>
    </w:pPr>
    <w:rPr>
      <w:rFonts w:ascii="Arial" w:hAnsi="Arial"/>
      <w:b/>
      <w:i/>
      <w:kern w:val="28"/>
      <w:szCs w:val="20"/>
      <w:lang w:val="en-US" w:eastAsia="en-US"/>
    </w:rPr>
  </w:style>
  <w:style w:type="paragraph" w:styleId="Heading7">
    <w:name w:val="heading 7"/>
    <w:basedOn w:val="Normal"/>
    <w:next w:val="Normal"/>
    <w:qFormat/>
    <w:rsid w:val="0028549E"/>
    <w:pPr>
      <w:keepNext/>
      <w:widowControl w:val="0"/>
      <w:numPr>
        <w:ilvl w:val="6"/>
        <w:numId w:val="19"/>
      </w:numPr>
      <w:tabs>
        <w:tab w:val="clear" w:pos="0"/>
        <w:tab w:val="num" w:pos="2520"/>
      </w:tabs>
      <w:spacing w:before="80" w:after="60" w:line="240" w:lineRule="atLeast"/>
      <w:ind w:left="2520" w:hanging="360"/>
      <w:outlineLvl w:val="6"/>
    </w:pPr>
    <w:rPr>
      <w:b/>
      <w:kern w:val="28"/>
      <w:szCs w:val="20"/>
      <w:lang w:val="en-US" w:eastAsia="en-US"/>
    </w:rPr>
  </w:style>
  <w:style w:type="paragraph" w:styleId="Heading8">
    <w:name w:val="heading 8"/>
    <w:basedOn w:val="Normal"/>
    <w:next w:val="Normal"/>
    <w:qFormat/>
    <w:rsid w:val="0028549E"/>
    <w:pPr>
      <w:keepNext/>
      <w:widowControl w:val="0"/>
      <w:numPr>
        <w:ilvl w:val="7"/>
        <w:numId w:val="19"/>
      </w:numPr>
      <w:tabs>
        <w:tab w:val="clear" w:pos="0"/>
        <w:tab w:val="num" w:pos="2880"/>
      </w:tabs>
      <w:spacing w:before="80" w:after="60" w:line="240" w:lineRule="atLeast"/>
      <w:ind w:left="2880" w:hanging="360"/>
      <w:outlineLvl w:val="7"/>
    </w:pPr>
    <w:rPr>
      <w:b/>
      <w:i/>
      <w:kern w:val="28"/>
      <w:szCs w:val="20"/>
      <w:lang w:val="en-US" w:eastAsia="en-US"/>
    </w:rPr>
  </w:style>
  <w:style w:type="paragraph" w:styleId="Heading9">
    <w:name w:val="heading 9"/>
    <w:basedOn w:val="Normal"/>
    <w:next w:val="Normal"/>
    <w:qFormat/>
    <w:rsid w:val="0028549E"/>
    <w:pPr>
      <w:keepNext/>
      <w:widowControl w:val="0"/>
      <w:numPr>
        <w:ilvl w:val="8"/>
        <w:numId w:val="19"/>
      </w:numPr>
      <w:tabs>
        <w:tab w:val="clear" w:pos="0"/>
        <w:tab w:val="num" w:pos="3240"/>
      </w:tabs>
      <w:spacing w:before="80" w:after="60" w:line="240" w:lineRule="atLeast"/>
      <w:ind w:left="3240" w:hanging="360"/>
      <w:outlineLvl w:val="8"/>
    </w:pPr>
    <w:rPr>
      <w:b/>
      <w:i/>
      <w:kern w:val="28"/>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72B92"/>
    <w:rPr>
      <w:color w:val="0000FF"/>
      <w:u w:val="single"/>
    </w:rPr>
  </w:style>
  <w:style w:type="paragraph" w:styleId="FootnoteText">
    <w:name w:val="footnote text"/>
    <w:basedOn w:val="Normal"/>
    <w:link w:val="FootnoteTextChar"/>
    <w:semiHidden/>
    <w:rsid w:val="00F31293"/>
    <w:rPr>
      <w:sz w:val="20"/>
      <w:szCs w:val="20"/>
    </w:rPr>
  </w:style>
  <w:style w:type="character" w:styleId="FootnoteReference">
    <w:name w:val="footnote reference"/>
    <w:basedOn w:val="DefaultParagraphFont"/>
    <w:semiHidden/>
    <w:rsid w:val="00F31293"/>
    <w:rPr>
      <w:vertAlign w:val="superscript"/>
    </w:rPr>
  </w:style>
  <w:style w:type="character" w:customStyle="1" w:styleId="FootnoteTextChar">
    <w:name w:val="Footnote Text Char"/>
    <w:basedOn w:val="DefaultParagraphFont"/>
    <w:link w:val="FootnoteText"/>
    <w:semiHidden/>
    <w:rsid w:val="0031470A"/>
    <w:rPr>
      <w:lang w:val="en-AU" w:eastAsia="en-AU" w:bidi="ar-SA"/>
    </w:rPr>
  </w:style>
  <w:style w:type="paragraph" w:customStyle="1" w:styleId="clauseheadlevel2">
    <w:name w:val="clauseheadlevel2"/>
    <w:rsid w:val="00B914D2"/>
    <w:pPr>
      <w:keepNext/>
      <w:keepLines/>
      <w:autoSpaceDE w:val="0"/>
      <w:autoSpaceDN w:val="0"/>
      <w:adjustRightInd w:val="0"/>
      <w:spacing w:before="160"/>
      <w:ind w:left="567" w:hanging="567"/>
    </w:pPr>
    <w:rPr>
      <w:b/>
      <w:bCs/>
      <w:color w:val="000000"/>
      <w:sz w:val="26"/>
      <w:szCs w:val="26"/>
    </w:rPr>
  </w:style>
  <w:style w:type="character" w:customStyle="1" w:styleId="CharChar2">
    <w:name w:val="Char Char2"/>
    <w:basedOn w:val="DefaultParagraphFont"/>
    <w:semiHidden/>
    <w:locked/>
    <w:rsid w:val="00665823"/>
    <w:rPr>
      <w:rFonts w:ascii="Book Antiqua" w:hAnsi="Book Antiqua" w:cs="Times New Roman"/>
      <w:lang w:val="en-AU" w:eastAsia="en-US" w:bidi="ar-SA"/>
    </w:rPr>
  </w:style>
  <w:style w:type="paragraph" w:customStyle="1" w:styleId="AdviceBodyText">
    <w:name w:val="Advice Body Text"/>
    <w:basedOn w:val="Normal"/>
    <w:rsid w:val="0028549E"/>
    <w:pPr>
      <w:numPr>
        <w:numId w:val="18"/>
      </w:numPr>
      <w:tabs>
        <w:tab w:val="left" w:pos="2268"/>
      </w:tabs>
      <w:spacing w:after="240"/>
    </w:pPr>
    <w:rPr>
      <w:szCs w:val="20"/>
    </w:rPr>
  </w:style>
  <w:style w:type="paragraph" w:customStyle="1" w:styleId="Quote1">
    <w:name w:val="Quote1"/>
    <w:basedOn w:val="Normal"/>
    <w:rsid w:val="00F22E73"/>
    <w:pPr>
      <w:widowControl w:val="0"/>
      <w:spacing w:after="240" w:line="240" w:lineRule="atLeast"/>
      <w:ind w:left="1541" w:right="720" w:hanging="101"/>
    </w:pPr>
    <w:rPr>
      <w:sz w:val="22"/>
      <w:szCs w:val="20"/>
      <w:lang w:eastAsia="en-US"/>
    </w:rPr>
  </w:style>
  <w:style w:type="paragraph" w:customStyle="1" w:styleId="Quote3">
    <w:name w:val="Quote3"/>
    <w:basedOn w:val="Normal"/>
    <w:rsid w:val="0028549E"/>
    <w:pPr>
      <w:widowControl w:val="0"/>
      <w:spacing w:after="240" w:line="240" w:lineRule="atLeast"/>
      <w:ind w:left="2880" w:right="720" w:hanging="720"/>
    </w:pPr>
    <w:rPr>
      <w:szCs w:val="20"/>
      <w:lang w:eastAsia="en-US"/>
    </w:rPr>
  </w:style>
  <w:style w:type="paragraph" w:styleId="BalloonText">
    <w:name w:val="Balloon Text"/>
    <w:basedOn w:val="Normal"/>
    <w:link w:val="BalloonTextChar"/>
    <w:rsid w:val="0086384F"/>
    <w:rPr>
      <w:rFonts w:ascii="Tahoma" w:hAnsi="Tahoma" w:cs="Tahoma"/>
      <w:sz w:val="16"/>
      <w:szCs w:val="16"/>
    </w:rPr>
  </w:style>
  <w:style w:type="character" w:customStyle="1" w:styleId="BalloonTextChar">
    <w:name w:val="Balloon Text Char"/>
    <w:basedOn w:val="DefaultParagraphFont"/>
    <w:link w:val="BalloonText"/>
    <w:rsid w:val="0086384F"/>
    <w:rPr>
      <w:rFonts w:ascii="Tahoma" w:hAnsi="Tahoma" w:cs="Tahoma"/>
      <w:sz w:val="16"/>
      <w:szCs w:val="16"/>
    </w:rPr>
  </w:style>
  <w:style w:type="paragraph" w:customStyle="1" w:styleId="normalindent">
    <w:name w:val="normalindent"/>
    <w:basedOn w:val="Normal"/>
    <w:rsid w:val="003A2E7E"/>
    <w:pPr>
      <w:spacing w:before="100" w:beforeAutospacing="1" w:after="100" w:afterAutospacing="1"/>
    </w:pPr>
  </w:style>
  <w:style w:type="character" w:customStyle="1" w:styleId="apple-converted-space">
    <w:name w:val="apple-converted-space"/>
    <w:basedOn w:val="DefaultParagraphFont"/>
    <w:rsid w:val="003A2E7E"/>
  </w:style>
  <w:style w:type="character" w:customStyle="1" w:styleId="apple-style-span">
    <w:name w:val="apple-style-span"/>
    <w:basedOn w:val="DefaultParagraphFont"/>
    <w:rsid w:val="003A2E7E"/>
  </w:style>
  <w:style w:type="paragraph" w:styleId="TOC1">
    <w:name w:val="toc 1"/>
    <w:basedOn w:val="Normal"/>
    <w:next w:val="Normal"/>
    <w:autoRedefine/>
    <w:semiHidden/>
    <w:rsid w:val="00631CBD"/>
    <w:pPr>
      <w:tabs>
        <w:tab w:val="right" w:leader="dot" w:pos="8296"/>
      </w:tabs>
      <w:jc w:val="center"/>
    </w:pPr>
    <w:rPr>
      <w:rFonts w:ascii="Arial" w:hAnsi="Arial" w:cs="Arial"/>
      <w:b/>
      <w:bCs/>
      <w:i/>
      <w:iCs/>
      <w:sz w:val="32"/>
      <w:szCs w:val="32"/>
    </w:rPr>
  </w:style>
  <w:style w:type="paragraph" w:styleId="TOC2">
    <w:name w:val="toc 2"/>
    <w:basedOn w:val="Normal"/>
    <w:next w:val="Normal"/>
    <w:autoRedefine/>
    <w:semiHidden/>
    <w:rsid w:val="00B63C91"/>
    <w:pPr>
      <w:ind w:left="240"/>
    </w:pPr>
  </w:style>
  <w:style w:type="paragraph" w:styleId="TOC3">
    <w:name w:val="toc 3"/>
    <w:basedOn w:val="Normal"/>
    <w:next w:val="Normal"/>
    <w:autoRedefine/>
    <w:semiHidden/>
    <w:rsid w:val="00B63C91"/>
    <w:pPr>
      <w:ind w:left="480"/>
    </w:pPr>
  </w:style>
  <w:style w:type="paragraph" w:styleId="EndnoteText">
    <w:name w:val="endnote text"/>
    <w:basedOn w:val="Normal"/>
    <w:rsid w:val="004E0987"/>
    <w:rPr>
      <w:sz w:val="20"/>
      <w:szCs w:val="20"/>
    </w:rPr>
  </w:style>
  <w:style w:type="paragraph" w:styleId="Footer">
    <w:name w:val="footer"/>
    <w:basedOn w:val="Normal"/>
    <w:rsid w:val="004E0987"/>
    <w:pPr>
      <w:tabs>
        <w:tab w:val="center" w:pos="4153"/>
        <w:tab w:val="right" w:pos="8306"/>
      </w:tabs>
    </w:pPr>
  </w:style>
  <w:style w:type="character" w:styleId="PageNumber">
    <w:name w:val="page number"/>
    <w:basedOn w:val="DefaultParagraphFont"/>
    <w:rsid w:val="004E0987"/>
  </w:style>
  <w:style w:type="paragraph" w:styleId="Header">
    <w:name w:val="header"/>
    <w:basedOn w:val="Normal"/>
    <w:rsid w:val="00034C1F"/>
    <w:pPr>
      <w:tabs>
        <w:tab w:val="center" w:pos="4153"/>
        <w:tab w:val="right" w:pos="8306"/>
      </w:tabs>
    </w:pPr>
  </w:style>
  <w:style w:type="paragraph" w:styleId="TOC4">
    <w:name w:val="toc 4"/>
    <w:basedOn w:val="Normal"/>
    <w:next w:val="Normal"/>
    <w:autoRedefine/>
    <w:semiHidden/>
    <w:rsid w:val="00797919"/>
    <w:pPr>
      <w:ind w:left="720"/>
    </w:pPr>
  </w:style>
  <w:style w:type="character" w:customStyle="1" w:styleId="CharChar20">
    <w:name w:val=" Char Char2"/>
    <w:basedOn w:val="DefaultParagraphFont"/>
    <w:semiHidden/>
    <w:rsid w:val="008151EB"/>
    <w:rPr>
      <w:rFonts w:ascii="Book Antiqua" w:hAnsi="Book Antiqua"/>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5">
      <w:bodyDiv w:val="1"/>
      <w:marLeft w:val="0"/>
      <w:marRight w:val="0"/>
      <w:marTop w:val="0"/>
      <w:marBottom w:val="0"/>
      <w:divBdr>
        <w:top w:val="none" w:sz="0" w:space="0" w:color="auto"/>
        <w:left w:val="none" w:sz="0" w:space="0" w:color="auto"/>
        <w:bottom w:val="none" w:sz="0" w:space="0" w:color="auto"/>
        <w:right w:val="none" w:sz="0" w:space="0" w:color="auto"/>
      </w:divBdr>
    </w:div>
    <w:div w:id="1059863705">
      <w:bodyDiv w:val="1"/>
      <w:marLeft w:val="0"/>
      <w:marRight w:val="0"/>
      <w:marTop w:val="0"/>
      <w:marBottom w:val="0"/>
      <w:divBdr>
        <w:top w:val="none" w:sz="0" w:space="0" w:color="auto"/>
        <w:left w:val="none" w:sz="0" w:space="0" w:color="auto"/>
        <w:bottom w:val="none" w:sz="0" w:space="0" w:color="auto"/>
        <w:right w:val="none" w:sz="0" w:space="0" w:color="auto"/>
      </w:divBdr>
    </w:div>
    <w:div w:id="11400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B7D-F68C-4A47-B7A9-BC9F5FE649CA}">
  <ds:schemaRefs>
    <ds:schemaRef ds:uri="http://schemas.microsoft.com/office/2006/metadata/longProperties"/>
  </ds:schemaRefs>
</ds:datastoreItem>
</file>

<file path=customXml/itemProps2.xml><?xml version="1.0" encoding="utf-8"?>
<ds:datastoreItem xmlns:ds="http://schemas.openxmlformats.org/officeDocument/2006/customXml" ds:itemID="{20D6C796-BBEE-4310-AD03-3227D3A3214D}">
  <ds:schemaRefs>
    <ds:schemaRef ds:uri="http://schemas.microsoft.com/sharepoint/v3/contenttype/forms"/>
  </ds:schemaRefs>
</ds:datastoreItem>
</file>

<file path=customXml/itemProps3.xml><?xml version="1.0" encoding="utf-8"?>
<ds:datastoreItem xmlns:ds="http://schemas.openxmlformats.org/officeDocument/2006/customXml" ds:itemID="{202ADF04-38F5-4273-AD8E-F8035044F8EB}">
  <ds:schemaRefs>
    <ds:schemaRef ds:uri="263eaefd-0475-4860-b86f-622cd66f4e0c"/>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bdde84cb-4b1f-4b74-b4a5-14e1a433eee1"/>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07F71D-76F1-4730-83AC-3CA125EBA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77920-7DBB-4F26-8A89-71468159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8406</Words>
  <Characters>43754</Characters>
  <Application>Microsoft Office Word</Application>
  <DocSecurity>0</DocSecurity>
  <Lines>364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52056</CharactersWithSpaces>
  <SharedDoc>false</SharedDoc>
  <HLinks>
    <vt:vector size="84" baseType="variant">
      <vt:variant>
        <vt:i4>1835061</vt:i4>
      </vt:variant>
      <vt:variant>
        <vt:i4>80</vt:i4>
      </vt:variant>
      <vt:variant>
        <vt:i4>0</vt:i4>
      </vt:variant>
      <vt:variant>
        <vt:i4>5</vt:i4>
      </vt:variant>
      <vt:variant>
        <vt:lpwstr/>
      </vt:variant>
      <vt:variant>
        <vt:lpwstr>_Toc285803289</vt:lpwstr>
      </vt:variant>
      <vt:variant>
        <vt:i4>1835061</vt:i4>
      </vt:variant>
      <vt:variant>
        <vt:i4>74</vt:i4>
      </vt:variant>
      <vt:variant>
        <vt:i4>0</vt:i4>
      </vt:variant>
      <vt:variant>
        <vt:i4>5</vt:i4>
      </vt:variant>
      <vt:variant>
        <vt:lpwstr/>
      </vt:variant>
      <vt:variant>
        <vt:lpwstr>_Toc285803288</vt:lpwstr>
      </vt:variant>
      <vt:variant>
        <vt:i4>1835061</vt:i4>
      </vt:variant>
      <vt:variant>
        <vt:i4>68</vt:i4>
      </vt:variant>
      <vt:variant>
        <vt:i4>0</vt:i4>
      </vt:variant>
      <vt:variant>
        <vt:i4>5</vt:i4>
      </vt:variant>
      <vt:variant>
        <vt:lpwstr/>
      </vt:variant>
      <vt:variant>
        <vt:lpwstr>_Toc285803287</vt:lpwstr>
      </vt:variant>
      <vt:variant>
        <vt:i4>1835061</vt:i4>
      </vt:variant>
      <vt:variant>
        <vt:i4>62</vt:i4>
      </vt:variant>
      <vt:variant>
        <vt:i4>0</vt:i4>
      </vt:variant>
      <vt:variant>
        <vt:i4>5</vt:i4>
      </vt:variant>
      <vt:variant>
        <vt:lpwstr/>
      </vt:variant>
      <vt:variant>
        <vt:lpwstr>_Toc285803286</vt:lpwstr>
      </vt:variant>
      <vt:variant>
        <vt:i4>1835061</vt:i4>
      </vt:variant>
      <vt:variant>
        <vt:i4>56</vt:i4>
      </vt:variant>
      <vt:variant>
        <vt:i4>0</vt:i4>
      </vt:variant>
      <vt:variant>
        <vt:i4>5</vt:i4>
      </vt:variant>
      <vt:variant>
        <vt:lpwstr/>
      </vt:variant>
      <vt:variant>
        <vt:lpwstr>_Toc285803285</vt:lpwstr>
      </vt:variant>
      <vt:variant>
        <vt:i4>1835061</vt:i4>
      </vt:variant>
      <vt:variant>
        <vt:i4>50</vt:i4>
      </vt:variant>
      <vt:variant>
        <vt:i4>0</vt:i4>
      </vt:variant>
      <vt:variant>
        <vt:i4>5</vt:i4>
      </vt:variant>
      <vt:variant>
        <vt:lpwstr/>
      </vt:variant>
      <vt:variant>
        <vt:lpwstr>_Toc285803284</vt:lpwstr>
      </vt:variant>
      <vt:variant>
        <vt:i4>1835061</vt:i4>
      </vt:variant>
      <vt:variant>
        <vt:i4>44</vt:i4>
      </vt:variant>
      <vt:variant>
        <vt:i4>0</vt:i4>
      </vt:variant>
      <vt:variant>
        <vt:i4>5</vt:i4>
      </vt:variant>
      <vt:variant>
        <vt:lpwstr/>
      </vt:variant>
      <vt:variant>
        <vt:lpwstr>_Toc285803283</vt:lpwstr>
      </vt:variant>
      <vt:variant>
        <vt:i4>1835061</vt:i4>
      </vt:variant>
      <vt:variant>
        <vt:i4>38</vt:i4>
      </vt:variant>
      <vt:variant>
        <vt:i4>0</vt:i4>
      </vt:variant>
      <vt:variant>
        <vt:i4>5</vt:i4>
      </vt:variant>
      <vt:variant>
        <vt:lpwstr/>
      </vt:variant>
      <vt:variant>
        <vt:lpwstr>_Toc285803282</vt:lpwstr>
      </vt:variant>
      <vt:variant>
        <vt:i4>1835061</vt:i4>
      </vt:variant>
      <vt:variant>
        <vt:i4>32</vt:i4>
      </vt:variant>
      <vt:variant>
        <vt:i4>0</vt:i4>
      </vt:variant>
      <vt:variant>
        <vt:i4>5</vt:i4>
      </vt:variant>
      <vt:variant>
        <vt:lpwstr/>
      </vt:variant>
      <vt:variant>
        <vt:lpwstr>_Toc285803281</vt:lpwstr>
      </vt:variant>
      <vt:variant>
        <vt:i4>1835061</vt:i4>
      </vt:variant>
      <vt:variant>
        <vt:i4>26</vt:i4>
      </vt:variant>
      <vt:variant>
        <vt:i4>0</vt:i4>
      </vt:variant>
      <vt:variant>
        <vt:i4>5</vt:i4>
      </vt:variant>
      <vt:variant>
        <vt:lpwstr/>
      </vt:variant>
      <vt:variant>
        <vt:lpwstr>_Toc285803280</vt:lpwstr>
      </vt:variant>
      <vt:variant>
        <vt:i4>1245237</vt:i4>
      </vt:variant>
      <vt:variant>
        <vt:i4>20</vt:i4>
      </vt:variant>
      <vt:variant>
        <vt:i4>0</vt:i4>
      </vt:variant>
      <vt:variant>
        <vt:i4>5</vt:i4>
      </vt:variant>
      <vt:variant>
        <vt:lpwstr/>
      </vt:variant>
      <vt:variant>
        <vt:lpwstr>_Toc285803279</vt:lpwstr>
      </vt:variant>
      <vt:variant>
        <vt:i4>1245237</vt:i4>
      </vt:variant>
      <vt:variant>
        <vt:i4>14</vt:i4>
      </vt:variant>
      <vt:variant>
        <vt:i4>0</vt:i4>
      </vt:variant>
      <vt:variant>
        <vt:i4>5</vt:i4>
      </vt:variant>
      <vt:variant>
        <vt:lpwstr/>
      </vt:variant>
      <vt:variant>
        <vt:lpwstr>_Toc285803278</vt:lpwstr>
      </vt:variant>
      <vt:variant>
        <vt:i4>1245237</vt:i4>
      </vt:variant>
      <vt:variant>
        <vt:i4>8</vt:i4>
      </vt:variant>
      <vt:variant>
        <vt:i4>0</vt:i4>
      </vt:variant>
      <vt:variant>
        <vt:i4>5</vt:i4>
      </vt:variant>
      <vt:variant>
        <vt:lpwstr/>
      </vt:variant>
      <vt:variant>
        <vt:lpwstr>_Toc285803277</vt:lpwstr>
      </vt:variant>
      <vt:variant>
        <vt:i4>1245237</vt:i4>
      </vt:variant>
      <vt:variant>
        <vt:i4>2</vt:i4>
      </vt:variant>
      <vt:variant>
        <vt:i4>0</vt:i4>
      </vt:variant>
      <vt:variant>
        <vt:i4>5</vt:i4>
      </vt:variant>
      <vt:variant>
        <vt:lpwstr/>
      </vt:variant>
      <vt:variant>
        <vt:lpwstr>_Toc285803276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Wicking</dc:creator>
  <cp:keywords/>
  <cp:lastModifiedBy>Andrew Wicking</cp:lastModifiedBy>
  <cp:revision>3</cp:revision>
  <cp:lastPrinted>2017-12-13T03:41:00Z</cp:lastPrinted>
  <dcterms:created xsi:type="dcterms:W3CDTF">2017-12-13T03:41:00Z</dcterms:created>
  <dcterms:modified xsi:type="dcterms:W3CDTF">2017-12-13T03:42:00Z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567200.000000000</vt:lpwstr>
  </property>
  <property fmtid="{D5CDD505-2E9C-101B-9397-08002B2CF9AE}" pid="3" name="ContentTypeId">
    <vt:lpwstr>0x010100FC344B925675ED46837EB14F9BF5688C</vt:lpwstr>
  </property>
</Properties>
</file>