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499C" w14:textId="77777777" w:rsidR="00D31BAD" w:rsidRDefault="00D31BAD" w:rsidP="00D31BAD">
      <w:pPr>
        <w:spacing w:before="16" w:line="260" w:lineRule="exact"/>
        <w:rPr>
          <w:sz w:val="26"/>
          <w:szCs w:val="26"/>
        </w:rPr>
      </w:pPr>
      <w:bookmarkStart w:id="0" w:name="Title"/>
      <w:bookmarkStart w:id="1" w:name="JudgeName1"/>
      <w:bookmarkEnd w:id="0"/>
      <w:bookmarkEnd w:id="1"/>
    </w:p>
    <w:p w14:paraId="39D7C4D5" w14:textId="54D1C2A2" w:rsidR="004722B0" w:rsidRPr="00764F85" w:rsidRDefault="004722B0" w:rsidP="00764F85">
      <w:pPr>
        <w:keepNext/>
        <w:autoSpaceDE w:val="0"/>
        <w:autoSpaceDN w:val="0"/>
        <w:adjustRightInd w:val="0"/>
        <w:jc w:val="center"/>
        <w:rPr>
          <w:b/>
        </w:rPr>
      </w:pPr>
      <w:r w:rsidRPr="004722B0">
        <w:rPr>
          <w:b/>
          <w:color w:val="000000"/>
          <w:sz w:val="32"/>
          <w:szCs w:val="32"/>
        </w:rPr>
        <w:t>Aon and its implications for the Commercial Court</w:t>
      </w:r>
      <w:bookmarkStart w:id="2" w:name="_GoBack"/>
      <w:bookmarkEnd w:id="2"/>
    </w:p>
    <w:p w14:paraId="25A6ED15" w14:textId="77777777" w:rsidR="008359CC" w:rsidRDefault="008359CC" w:rsidP="00764F85">
      <w:pPr>
        <w:keepNext/>
        <w:tabs>
          <w:tab w:val="num" w:pos="1440"/>
        </w:tabs>
        <w:jc w:val="center"/>
        <w:outlineLvl w:val="0"/>
        <w:rPr>
          <w:b/>
        </w:rPr>
      </w:pPr>
    </w:p>
    <w:p w14:paraId="0FE1FFF8" w14:textId="77777777" w:rsidR="004722B0" w:rsidRPr="00764F85" w:rsidRDefault="00764F85" w:rsidP="00764F85">
      <w:pPr>
        <w:keepNext/>
        <w:tabs>
          <w:tab w:val="num" w:pos="1440"/>
        </w:tabs>
        <w:jc w:val="center"/>
        <w:outlineLvl w:val="0"/>
        <w:rPr>
          <w:b/>
        </w:rPr>
      </w:pPr>
      <w:r w:rsidRPr="00764F85">
        <w:rPr>
          <w:b/>
        </w:rPr>
        <w:t xml:space="preserve">The Hon. </w:t>
      </w:r>
      <w:r w:rsidR="004722B0" w:rsidRPr="00764F85">
        <w:rPr>
          <w:b/>
        </w:rPr>
        <w:t>Justice Clyde Croft</w:t>
      </w:r>
      <w:r w:rsidR="004722B0">
        <w:rPr>
          <w:rStyle w:val="FootnoteReference"/>
        </w:rPr>
        <w:footnoteReference w:id="1"/>
      </w:r>
    </w:p>
    <w:p w14:paraId="6C258F8E" w14:textId="77777777" w:rsidR="004722B0" w:rsidRDefault="004722B0" w:rsidP="008359CC">
      <w:pPr>
        <w:keepNext/>
        <w:autoSpaceDE w:val="0"/>
        <w:autoSpaceDN w:val="0"/>
        <w:adjustRightInd w:val="0"/>
        <w:jc w:val="center"/>
        <w:rPr>
          <w:caps/>
          <w:color w:val="000000"/>
        </w:rPr>
      </w:pPr>
    </w:p>
    <w:p w14:paraId="780118D8" w14:textId="77777777" w:rsidR="00764F85" w:rsidRDefault="00764F85" w:rsidP="00764F85">
      <w:pPr>
        <w:keepNext/>
        <w:autoSpaceDE w:val="0"/>
        <w:autoSpaceDN w:val="0"/>
        <w:adjustRightInd w:val="0"/>
        <w:jc w:val="center"/>
      </w:pPr>
      <w:r>
        <w:t xml:space="preserve">A paper presented at the Commercial Court CPD and CLE Seminar  – </w:t>
      </w:r>
      <w:r>
        <w:rPr>
          <w:i/>
        </w:rPr>
        <w:t>Aon Risk Services Australia Ltd v ANU</w:t>
      </w:r>
      <w:r>
        <w:t xml:space="preserve"> [2009] HCA 27: What does this mean for litigation and how will it affect trial preparation? </w:t>
      </w:r>
    </w:p>
    <w:p w14:paraId="5D2303CA" w14:textId="77777777" w:rsidR="00764F85" w:rsidRDefault="00764F85" w:rsidP="00764F85">
      <w:pPr>
        <w:keepNext/>
        <w:autoSpaceDE w:val="0"/>
        <w:autoSpaceDN w:val="0"/>
        <w:adjustRightInd w:val="0"/>
        <w:jc w:val="center"/>
      </w:pPr>
    </w:p>
    <w:p w14:paraId="235536D3" w14:textId="77777777" w:rsidR="00764F85" w:rsidRDefault="00764F85" w:rsidP="00764F85">
      <w:pPr>
        <w:keepNext/>
        <w:autoSpaceDE w:val="0"/>
        <w:autoSpaceDN w:val="0"/>
        <w:adjustRightInd w:val="0"/>
        <w:jc w:val="center"/>
        <w:rPr>
          <w:caps/>
          <w:color w:val="000000"/>
        </w:rPr>
      </w:pPr>
      <w:r>
        <w:t>Thursday 19 August 2010</w:t>
      </w:r>
    </w:p>
    <w:p w14:paraId="1724F959" w14:textId="77777777" w:rsidR="00764F85" w:rsidRPr="00764F85" w:rsidRDefault="00764F85" w:rsidP="004722B0">
      <w:pPr>
        <w:keepNext/>
        <w:autoSpaceDE w:val="0"/>
        <w:autoSpaceDN w:val="0"/>
        <w:adjustRightInd w:val="0"/>
        <w:rPr>
          <w:caps/>
          <w:color w:val="000000"/>
        </w:rPr>
      </w:pPr>
    </w:p>
    <w:p w14:paraId="007E83C2" w14:textId="77777777" w:rsidR="004722B0" w:rsidRPr="00764F85" w:rsidRDefault="004722B0" w:rsidP="00764F85">
      <w:pPr>
        <w:keepNext/>
        <w:tabs>
          <w:tab w:val="num" w:pos="1440"/>
        </w:tabs>
        <w:spacing w:line="480" w:lineRule="auto"/>
        <w:outlineLvl w:val="0"/>
        <w:rPr>
          <w:b/>
        </w:rPr>
      </w:pPr>
      <w:r w:rsidRPr="00764F85">
        <w:rPr>
          <w:b/>
        </w:rPr>
        <w:t>Introduction</w:t>
      </w:r>
    </w:p>
    <w:p w14:paraId="10915457" w14:textId="77777777" w:rsidR="004722B0" w:rsidRPr="00764F85" w:rsidRDefault="004722B0" w:rsidP="00764F85">
      <w:pPr>
        <w:keepNext/>
        <w:tabs>
          <w:tab w:val="num" w:pos="1440"/>
        </w:tabs>
        <w:spacing w:line="480" w:lineRule="auto"/>
      </w:pPr>
      <w:r w:rsidRPr="00764F85">
        <w:t xml:space="preserve">The decision of the High Court of Australia, in </w:t>
      </w:r>
      <w:r w:rsidRPr="00764F85">
        <w:rPr>
          <w:i/>
        </w:rPr>
        <w:t>Aon Risk Services v Australian National University</w:t>
      </w:r>
      <w:r w:rsidRPr="00764F85">
        <w:t xml:space="preserve"> (2009) 239 CLR 175 provides authority for courts to take into account case management principles when exercising discretion in procedural applications, even to the prejudice of a party to a particular proceeding. The statements found in the three judgments in </w:t>
      </w:r>
      <w:r w:rsidRPr="00764F85">
        <w:rPr>
          <w:i/>
        </w:rPr>
        <w:t xml:space="preserve">Aon </w:t>
      </w:r>
      <w:r w:rsidRPr="00764F85">
        <w:t>were  welcome recognition of the growing importance of active case management undertaken by judges. However, the High Court can only provide broad guidance to courts applying their own varied procedures to infinitely varied fact situations.</w:t>
      </w:r>
    </w:p>
    <w:p w14:paraId="325D3D30" w14:textId="77777777" w:rsidR="004722B0" w:rsidRPr="00764F85" w:rsidRDefault="004722B0" w:rsidP="00764F85">
      <w:pPr>
        <w:keepNext/>
        <w:spacing w:line="480" w:lineRule="auto"/>
      </w:pPr>
      <w:r w:rsidRPr="00764F85">
        <w:t xml:space="preserve">It is for each court, working within its rules, to adopt its own case management principles. The Commercial Court of the Supreme Court of Victoria is aiming to be an exemplary model in this regard. This paper will consider the ways that the Commercial Court applies the principles recognised in </w:t>
      </w:r>
      <w:r w:rsidRPr="00764F85">
        <w:rPr>
          <w:i/>
        </w:rPr>
        <w:t>Aon</w:t>
      </w:r>
      <w:r w:rsidRPr="00764F85">
        <w:t xml:space="preserve">.  </w:t>
      </w:r>
    </w:p>
    <w:p w14:paraId="3E012687" w14:textId="77777777" w:rsidR="004722B0" w:rsidRPr="00764F85" w:rsidRDefault="004722B0" w:rsidP="00764F85">
      <w:pPr>
        <w:keepNext/>
        <w:tabs>
          <w:tab w:val="num" w:pos="1440"/>
        </w:tabs>
        <w:spacing w:line="480" w:lineRule="auto"/>
        <w:outlineLvl w:val="0"/>
        <w:rPr>
          <w:b/>
        </w:rPr>
      </w:pPr>
      <w:r w:rsidRPr="00764F85">
        <w:rPr>
          <w:b/>
        </w:rPr>
        <w:t>The facts in Aon</w:t>
      </w:r>
      <w:r w:rsidRPr="00764F85">
        <w:rPr>
          <w:rStyle w:val="FootnoteReference"/>
          <w:b/>
        </w:rPr>
        <w:footnoteReference w:id="2"/>
      </w:r>
    </w:p>
    <w:p w14:paraId="4D2FE132" w14:textId="77777777" w:rsidR="004722B0" w:rsidRPr="00764F85" w:rsidRDefault="004722B0" w:rsidP="00764F85">
      <w:pPr>
        <w:keepNext/>
        <w:tabs>
          <w:tab w:val="num" w:pos="1440"/>
        </w:tabs>
        <w:spacing w:line="480" w:lineRule="auto"/>
      </w:pPr>
      <w:r w:rsidRPr="00764F85">
        <w:t xml:space="preserve">It is helpful to recount, briefly, the facts and procedural history of </w:t>
      </w:r>
      <w:r w:rsidRPr="00764F85">
        <w:rPr>
          <w:i/>
        </w:rPr>
        <w:t>Aon</w:t>
      </w:r>
      <w:r w:rsidRPr="00764F85">
        <w:t xml:space="preserve"> in order to place the principles expounded in some context.  </w:t>
      </w:r>
    </w:p>
    <w:p w14:paraId="40DF1CB9" w14:textId="77777777" w:rsidR="004722B0" w:rsidRPr="00764F85" w:rsidRDefault="004722B0" w:rsidP="00764F85">
      <w:pPr>
        <w:keepNext/>
        <w:tabs>
          <w:tab w:val="num" w:pos="1440"/>
        </w:tabs>
        <w:spacing w:line="480" w:lineRule="auto"/>
      </w:pPr>
      <w:r w:rsidRPr="00764F85">
        <w:t>In December 2004, the Australian National University (ANU) commenced proceedings in the Supreme Court of the Australian Capital Territory. The ANU sought indemnities from three insurers for property losses suffered in the 2003 Canberra bushfires by reason of the destruction and damage to the buildings and contents at its Mount Stromlo Observatory Complex.</w:t>
      </w:r>
    </w:p>
    <w:p w14:paraId="4A5DABB7" w14:textId="77777777" w:rsidR="004722B0" w:rsidRPr="00764F85" w:rsidRDefault="004722B0" w:rsidP="00764F85">
      <w:pPr>
        <w:keepNext/>
        <w:tabs>
          <w:tab w:val="num" w:pos="1440"/>
        </w:tabs>
        <w:spacing w:line="480" w:lineRule="auto"/>
      </w:pPr>
      <w:r w:rsidRPr="00764F85">
        <w:t xml:space="preserve">In June 2005, ANU joined its insurance broker, Aon Risk Services, claiming that Aon failed to renew insurance over some of the damaged property. </w:t>
      </w:r>
    </w:p>
    <w:p w14:paraId="06916267" w14:textId="77777777" w:rsidR="004722B0" w:rsidRPr="00764F85" w:rsidRDefault="004722B0" w:rsidP="00764F85">
      <w:pPr>
        <w:keepNext/>
        <w:tabs>
          <w:tab w:val="num" w:pos="1440"/>
        </w:tabs>
        <w:spacing w:line="480" w:lineRule="auto"/>
      </w:pPr>
      <w:r w:rsidRPr="00764F85">
        <w:t xml:space="preserve">In November 2006, on the third day of a trial scheduled for four weeks, </w:t>
      </w:r>
      <w:r w:rsidRPr="00764F85" w:rsidDel="00681E25">
        <w:t>ANU</w:t>
      </w:r>
      <w:r w:rsidRPr="00764F85">
        <w:t xml:space="preserve"> settled with the insurers. Subsequently, ANU sought leave to amend its statement of claim to allege a new case against Aon, based upon an agreement not previously pleaded. The trial was adjourned and the application for leave to amend was heard 12 days later. The decision granting leave to amend was not handed down for more than 10 months.</w:t>
      </w:r>
    </w:p>
    <w:p w14:paraId="1278B182" w14:textId="77777777" w:rsidR="004722B0" w:rsidRPr="00764F85" w:rsidRDefault="004722B0" w:rsidP="00764F85">
      <w:pPr>
        <w:keepNext/>
        <w:tabs>
          <w:tab w:val="num" w:pos="1440"/>
        </w:tabs>
        <w:spacing w:line="480" w:lineRule="auto"/>
      </w:pPr>
      <w:r w:rsidRPr="00764F85">
        <w:t xml:space="preserve">Aon appealed.  The ACT Court of Appeal upheld the trial judge’s decision with a further order that ANU pay Aon’s costs related to the amendment on an indemnity basis. Aon sought special leave to appeal from the High Court.  Notably, Justice Kiefel, whose decision as a trial judge was overturned by the High Court in </w:t>
      </w:r>
      <w:r w:rsidRPr="00764F85">
        <w:rPr>
          <w:i/>
        </w:rPr>
        <w:t>Queensland v J L Holdings Pty Ltd</w:t>
      </w:r>
      <w:r w:rsidRPr="00764F85">
        <w:t>,</w:t>
      </w:r>
      <w:r w:rsidRPr="00764F85">
        <w:rPr>
          <w:rStyle w:val="FootnoteReference"/>
        </w:rPr>
        <w:footnoteReference w:id="3"/>
      </w:r>
      <w:r w:rsidRPr="00764F85">
        <w:t xml:space="preserve"> heard the application with Justice Gummow. Aon’s application for special leave was successful.</w:t>
      </w:r>
    </w:p>
    <w:p w14:paraId="3B3E8285" w14:textId="77777777" w:rsidR="004722B0" w:rsidRPr="00764F85" w:rsidRDefault="004722B0" w:rsidP="00764F85">
      <w:pPr>
        <w:keepNext/>
        <w:tabs>
          <w:tab w:val="num" w:pos="1440"/>
        </w:tabs>
        <w:spacing w:line="480" w:lineRule="auto"/>
      </w:pPr>
      <w:r w:rsidRPr="00764F85">
        <w:t xml:space="preserve">As Heydon J noted in some detail in </w:t>
      </w:r>
      <w:r w:rsidRPr="00764F85">
        <w:rPr>
          <w:i/>
        </w:rPr>
        <w:t>Aon</w:t>
      </w:r>
      <w:r w:rsidRPr="00764F85">
        <w:t xml:space="preserve">, the procedural history of the case was not one of efficiency, though it was not in the same class as the Chancery proceedings in </w:t>
      </w:r>
      <w:r w:rsidRPr="00764F85">
        <w:rPr>
          <w:i/>
        </w:rPr>
        <w:t>Bleak House</w:t>
      </w:r>
      <w:r w:rsidRPr="00764F85">
        <w:t>. His Honour said:</w:t>
      </w:r>
      <w:r w:rsidRPr="00764F85">
        <w:rPr>
          <w:rStyle w:val="FootnoteReference"/>
        </w:rPr>
        <w:footnoteReference w:id="4"/>
      </w:r>
    </w:p>
    <w:p w14:paraId="68220E4B"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The presentation and adjudication of the case in the courts below do cause it to merit a place in the precedent books. The reasons for placing it there turn on the numerous examples it affords of how litigation should not be conducted or dealt with. The proceedings reveal a strange alliance. A party which has a duty to assist the court in achieving certain objectives fails to do so. A court which has a duty to achieve those objectives does not achieve them. The torpid languor of one hand washes the drowsy procrastination of the other. Are these phenomena indications of something chronic in the modern state of litigation? Or are they merely acute and atypical breakdowns in an otherwise functional system? Are they signs of a trend, or do they reveal only an anomaly? One hopes for one set of answers. One fears that, in reality, there must be another.</w:t>
      </w:r>
    </w:p>
    <w:p w14:paraId="7D8B3540" w14:textId="77777777" w:rsidR="004722B0" w:rsidRPr="00764F85" w:rsidRDefault="004722B0" w:rsidP="00764F85">
      <w:pPr>
        <w:keepNext/>
        <w:tabs>
          <w:tab w:val="num" w:pos="1440"/>
        </w:tabs>
        <w:spacing w:line="480" w:lineRule="auto"/>
      </w:pPr>
      <w:r w:rsidRPr="00764F85">
        <w:lastRenderedPageBreak/>
        <w:t xml:space="preserve">The aim of the Commercial Court is to avoid these sorts of problems, as is indicated in the “Court Objective and Policies” which are set out in the </w:t>
      </w:r>
      <w:r w:rsidRPr="00764F85">
        <w:rPr>
          <w:i/>
        </w:rPr>
        <w:t>Green Book</w:t>
      </w:r>
      <w:r w:rsidRPr="00764F85">
        <w:t>.</w:t>
      </w:r>
      <w:r w:rsidRPr="00764F85">
        <w:rPr>
          <w:rStyle w:val="FootnoteReference"/>
        </w:rPr>
        <w:footnoteReference w:id="5"/>
      </w:r>
      <w:r w:rsidRPr="00764F85">
        <w:t xml:space="preserve"> Of particular relevance is the general approach which prefaces the more particular aspects of the Objective and Policies:</w:t>
      </w:r>
      <w:r w:rsidRPr="00764F85">
        <w:rPr>
          <w:rStyle w:val="FootnoteReference"/>
        </w:rPr>
        <w:footnoteReference w:id="6"/>
      </w:r>
      <w:r w:rsidRPr="00764F85">
        <w:t xml:space="preserve"> </w:t>
      </w:r>
    </w:p>
    <w:p w14:paraId="6086C891" w14:textId="77777777" w:rsidR="004722B0" w:rsidRPr="00764F85" w:rsidRDefault="004722B0" w:rsidP="00764F85">
      <w:pPr>
        <w:keepNext/>
        <w:spacing w:line="480" w:lineRule="auto"/>
        <w:ind w:left="1620" w:right="926" w:hanging="900"/>
      </w:pPr>
      <w:r w:rsidRPr="00764F85">
        <w:t>2.1</w:t>
      </w:r>
      <w:r w:rsidRPr="00764F85">
        <w:tab/>
        <w:t>The objective of the Commercial Court is to provide for the just and efficient determination of commercial disputes by the early identification of the substantial questions in controversy, and the flexible adoption of appropriate and timely procedures for the future conduct of the proceeding which are best suited to the particular proceeding.</w:t>
      </w:r>
    </w:p>
    <w:p w14:paraId="2DC9474E" w14:textId="77777777" w:rsidR="004722B0" w:rsidRPr="00764F85" w:rsidRDefault="004722B0" w:rsidP="00764F85">
      <w:pPr>
        <w:keepNext/>
        <w:spacing w:line="480" w:lineRule="auto"/>
        <w:ind w:left="1620" w:right="926" w:hanging="900"/>
      </w:pPr>
      <w:r w:rsidRPr="00764F85">
        <w:t>2.2.</w:t>
      </w:r>
      <w:r w:rsidRPr="00764F85">
        <w:tab/>
        <w:t>The practices and procedures set out in this Practice Note and used by the Commercial Court must be read and understood in the light of the Court Objective, which is paramount. These practices and procedures may be modified or abrogated to suit the requirements of a particular proceeding.</w:t>
      </w:r>
    </w:p>
    <w:p w14:paraId="1DC15301" w14:textId="77777777" w:rsidR="004722B0" w:rsidRPr="00764F85" w:rsidRDefault="004722B0" w:rsidP="00764F85">
      <w:pPr>
        <w:keepNext/>
        <w:tabs>
          <w:tab w:val="num" w:pos="1440"/>
        </w:tabs>
        <w:spacing w:line="480" w:lineRule="auto"/>
        <w:outlineLvl w:val="0"/>
      </w:pPr>
      <w:r w:rsidRPr="00764F85">
        <w:rPr>
          <w:b/>
        </w:rPr>
        <w:t>The needs of commercial litigants</w:t>
      </w:r>
    </w:p>
    <w:p w14:paraId="1C9A14C6" w14:textId="77777777" w:rsidR="004722B0" w:rsidRPr="00764F85" w:rsidRDefault="004722B0" w:rsidP="00764F85">
      <w:pPr>
        <w:keepNext/>
        <w:tabs>
          <w:tab w:val="num" w:pos="1440"/>
        </w:tabs>
        <w:spacing w:line="480" w:lineRule="auto"/>
      </w:pPr>
      <w:r w:rsidRPr="00764F85">
        <w:t xml:space="preserve">Justice Heydon, in </w:t>
      </w:r>
      <w:r w:rsidRPr="00764F85">
        <w:rPr>
          <w:i/>
        </w:rPr>
        <w:t>Aon</w:t>
      </w:r>
      <w:r w:rsidRPr="00764F85">
        <w:t>, made specific reference to the important role that courts must play in ensuring the efficient disposition of commercial litigation.  His Honour said:</w:t>
      </w:r>
      <w:r w:rsidRPr="00764F85">
        <w:rPr>
          <w:rStyle w:val="FootnoteReference"/>
        </w:rPr>
        <w:footnoteReference w:id="7"/>
      </w:r>
    </w:p>
    <w:p w14:paraId="5E1BA760"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While in general it is now seen as desirable that most types of litigation be dealt with expeditiously, it is commonly seen as especially desirable for commercial litigation…Those claims rest on the idea that a failure to resolve commercial disputes speedily is injurious to commerce, and hence injurious to the public interest ... Commercial life depends on the timely and just payment of money. Prosperity depends on the velocity of its circulation. Those who claim to be entitled to money should know, as soon as possible, whether they will be paid. Those against whom the entitlement is asserted should know, as soon as possible, whether they will have to pay. In each case that is because it is important that both the claimants and those resisting claims are able to order their affairs. How they order their affairs affects how their creditors, their debtors, their suppliers, their customers, their employees, and, in the case of companies, their actual and potential shareholders, order their affairs. The courts are thus an important aspect of the institutional framework of commerce. The efficiency or inefficiency of the courts has a bearing on the health or sickness of commerce.</w:t>
      </w:r>
    </w:p>
    <w:p w14:paraId="65F0F799" w14:textId="77777777" w:rsidR="004722B0" w:rsidRPr="00764F85" w:rsidRDefault="004722B0" w:rsidP="00764F85">
      <w:pPr>
        <w:keepNext/>
        <w:tabs>
          <w:tab w:val="num" w:pos="1440"/>
        </w:tabs>
        <w:spacing w:line="480" w:lineRule="auto"/>
        <w:rPr>
          <w:b/>
        </w:rPr>
      </w:pPr>
      <w:r w:rsidRPr="00764F85">
        <w:t>It is clear that the judiciary must be attuned to, and must provide for, the realities and needs of commerce.</w:t>
      </w:r>
      <w:r w:rsidRPr="00764F85">
        <w:rPr>
          <w:rStyle w:val="FootnoteReference"/>
        </w:rPr>
        <w:footnoteReference w:id="8"/>
      </w:r>
      <w:r w:rsidRPr="00764F85">
        <w:t xml:space="preserve">   Lord Mansfield’s development of commercial law in the latter part of the eighteenth century is a prime example of  the ability of the common law to be very proactive in this respect.</w:t>
      </w:r>
      <w:r w:rsidRPr="00764F85">
        <w:rPr>
          <w:rStyle w:val="FootnoteReference"/>
        </w:rPr>
        <w:footnoteReference w:id="9"/>
      </w:r>
    </w:p>
    <w:p w14:paraId="68578DBC" w14:textId="77777777" w:rsidR="008359CC" w:rsidRDefault="008359CC" w:rsidP="00764F85">
      <w:pPr>
        <w:keepNext/>
        <w:tabs>
          <w:tab w:val="num" w:pos="1440"/>
        </w:tabs>
        <w:spacing w:line="480" w:lineRule="auto"/>
        <w:outlineLvl w:val="0"/>
        <w:rPr>
          <w:b/>
        </w:rPr>
      </w:pPr>
    </w:p>
    <w:p w14:paraId="01E54762" w14:textId="77777777" w:rsidR="004722B0" w:rsidRPr="00764F85" w:rsidRDefault="004722B0" w:rsidP="00764F85">
      <w:pPr>
        <w:keepNext/>
        <w:tabs>
          <w:tab w:val="num" w:pos="1440"/>
        </w:tabs>
        <w:spacing w:line="480" w:lineRule="auto"/>
        <w:outlineLvl w:val="0"/>
        <w:rPr>
          <w:b/>
          <w:i/>
        </w:rPr>
      </w:pPr>
      <w:r w:rsidRPr="00764F85">
        <w:rPr>
          <w:b/>
        </w:rPr>
        <w:t xml:space="preserve">Principles established or emphasised in </w:t>
      </w:r>
      <w:r w:rsidRPr="00764F85">
        <w:rPr>
          <w:b/>
          <w:i/>
        </w:rPr>
        <w:t>Aon</w:t>
      </w:r>
    </w:p>
    <w:p w14:paraId="53F02529" w14:textId="77777777" w:rsidR="004722B0" w:rsidRPr="00764F85" w:rsidRDefault="004722B0" w:rsidP="00764F85">
      <w:pPr>
        <w:keepNext/>
        <w:tabs>
          <w:tab w:val="num" w:pos="1440"/>
        </w:tabs>
        <w:spacing w:line="480" w:lineRule="auto"/>
      </w:pPr>
      <w:r w:rsidRPr="00764F85">
        <w:t xml:space="preserve">The three judgments in </w:t>
      </w:r>
      <w:r w:rsidRPr="00764F85">
        <w:rPr>
          <w:i/>
        </w:rPr>
        <w:t>Aon</w:t>
      </w:r>
      <w:r w:rsidRPr="00764F85">
        <w:t xml:space="preserve"> recognised that the starting point for an application to amend a statement of claim, and other procedural issues, is the proper application of the procedural rules.</w:t>
      </w:r>
      <w:r w:rsidRPr="00764F85">
        <w:rPr>
          <w:rStyle w:val="FootnoteReference"/>
        </w:rPr>
        <w:footnoteReference w:id="10"/>
      </w:r>
      <w:r w:rsidRPr="00764F85">
        <w:t xml:space="preserve"> However, the High Court also stated some principles of general application to procedural issues.</w:t>
      </w:r>
    </w:p>
    <w:p w14:paraId="3ECE7654" w14:textId="77777777" w:rsidR="004722B0" w:rsidRPr="00764F85" w:rsidRDefault="004722B0" w:rsidP="00764F85">
      <w:pPr>
        <w:keepNext/>
        <w:spacing w:line="480" w:lineRule="auto"/>
      </w:pPr>
      <w:r w:rsidRPr="00764F85">
        <w:t>The Chief Justice helpfully summarised the position in relation to applications to adjourn and amend:</w:t>
      </w:r>
      <w:r w:rsidRPr="00764F85">
        <w:rPr>
          <w:rStyle w:val="FootnoteReference"/>
        </w:rPr>
        <w:footnoteReference w:id="11"/>
      </w:r>
    </w:p>
    <w:p w14:paraId="119E5C98"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In the proper exercise of the primary judge's discretion, the applications for adjournment and amendment 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 Given its nature, the circumstances in which it was sought, and the lack of a satisfactory explanation for seeking it, the amendment to ANU's statement of claim should not have been allowed.</w:t>
      </w:r>
    </w:p>
    <w:p w14:paraId="0352F22A" w14:textId="77777777" w:rsidR="004722B0" w:rsidRPr="00764F85" w:rsidRDefault="004722B0" w:rsidP="00764F85">
      <w:pPr>
        <w:keepNext/>
        <w:spacing w:line="480" w:lineRule="auto"/>
        <w:outlineLvl w:val="0"/>
      </w:pPr>
      <w:r w:rsidRPr="00764F85">
        <w:t>The plurality</w:t>
      </w:r>
      <w:r w:rsidRPr="00764F85">
        <w:rPr>
          <w:rStyle w:val="FootnoteReference"/>
        </w:rPr>
        <w:footnoteReference w:id="12"/>
      </w:r>
      <w:r w:rsidRPr="00764F85">
        <w:t xml:space="preserve"> in </w:t>
      </w:r>
      <w:r w:rsidRPr="00764F85">
        <w:rPr>
          <w:i/>
        </w:rPr>
        <w:t>Aon</w:t>
      </w:r>
      <w:r w:rsidRPr="00764F85">
        <w:t xml:space="preserve"> also summarised their position:</w:t>
      </w:r>
      <w:r w:rsidRPr="00764F85">
        <w:rPr>
          <w:rStyle w:val="FootnoteReference"/>
        </w:rPr>
        <w:footnoteReference w:id="13"/>
      </w:r>
    </w:p>
    <w:p w14:paraId="2020D88D"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 xml:space="preserve">[111] An application for leave to amend a pleading should not be approached on the basis that a party is entitled to raise an arguable claim, subject to payment of costs by way of compensation. There is no such entitlement. All matters relevant to the exercise of the power to permit amendment should be weighed. The fact of substantial delay and wasted costs, the concerns of case management, will assume importance on an application for leave to amend. Statements in </w:t>
      </w:r>
      <w:r w:rsidRPr="00764F85">
        <w:rPr>
          <w:rFonts w:ascii="Arial" w:hAnsi="Arial" w:cs="Arial"/>
          <w:i/>
          <w:szCs w:val="22"/>
        </w:rPr>
        <w:t>JL Holdings</w:t>
      </w:r>
      <w:r w:rsidRPr="00764F85">
        <w:rPr>
          <w:rStyle w:val="FootnoteReference"/>
          <w:rFonts w:ascii="Arial" w:hAnsi="Arial" w:cs="Arial"/>
          <w:i/>
          <w:szCs w:val="22"/>
        </w:rPr>
        <w:footnoteReference w:id="14"/>
      </w:r>
      <w:r w:rsidRPr="00764F85">
        <w:rPr>
          <w:rFonts w:ascii="Arial" w:hAnsi="Arial" w:cs="Arial"/>
          <w:szCs w:val="22"/>
        </w:rPr>
        <w:t xml:space="preserve"> which suggest only a limited application for case management do not rest upon a principle which has been carefully worked out in a significant succession of cases.</w:t>
      </w:r>
      <w:r w:rsidRPr="00764F85">
        <w:rPr>
          <w:rStyle w:val="FootnoteReference"/>
          <w:rFonts w:ascii="Arial" w:hAnsi="Arial" w:cs="Arial"/>
          <w:szCs w:val="22"/>
        </w:rPr>
        <w:footnoteReference w:id="15"/>
      </w:r>
      <w:r w:rsidRPr="00764F85">
        <w:rPr>
          <w:rFonts w:ascii="Arial" w:hAnsi="Arial" w:cs="Arial"/>
          <w:szCs w:val="22"/>
        </w:rPr>
        <w:t xml:space="preserve"> On the contrary, the statements are not consonant with this Court's earlier recognition of the effects of delay, not only upon the parties to the proceedings in question, but upon the court and other litigants. Such statements should not be applied in the future.</w:t>
      </w:r>
    </w:p>
    <w:p w14:paraId="272061E8"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 xml:space="preserve">[112] A party has the right to bring proceedings. Parties have choices as to what claims are to be made and how they are to be framed. But limits will be placed upon their ability to </w:t>
      </w:r>
      <w:r w:rsidRPr="00764F85">
        <w:rPr>
          <w:rFonts w:ascii="Arial" w:hAnsi="Arial" w:cs="Arial"/>
          <w:szCs w:val="22"/>
        </w:rPr>
        <w:lastRenderedPageBreak/>
        <w:t>effect changes to their pleadings, particularly if litigation is advanced. That is why, in seeking the just resolution of the dispute, reference is made to parties having a sufficient opportunity to identify the issues they seek to agitate.</w:t>
      </w:r>
    </w:p>
    <w:p w14:paraId="2058D31B"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[114] … Critically, the matters relevant to a just resolution of ANU's claim required ANU to provide some explanation for its delay in seeking the amendment if the discretion under r 502(1) was to be exercised in its favour and to the disadvantage of Aon. None was provided.</w:t>
      </w:r>
    </w:p>
    <w:p w14:paraId="0AA773C6" w14:textId="77777777" w:rsidR="004722B0" w:rsidRPr="00764F85" w:rsidRDefault="004722B0" w:rsidP="00764F85">
      <w:pPr>
        <w:keepNext/>
        <w:tabs>
          <w:tab w:val="num" w:pos="1440"/>
        </w:tabs>
        <w:spacing w:line="480" w:lineRule="auto"/>
      </w:pPr>
      <w:r w:rsidRPr="00764F85">
        <w:t xml:space="preserve">Case management is not an end in itself. Its goal is the creation of just and efficient outcomes for the parties to a particular case, as well as other litigants and the community at large. Parties will be given an opportunity to plead their case and raise all relevant issues, but, especially when litigation is advanced, a party is expected to provide an explanation, with very good reasons, as to why it is seeking to amend its case or seeking any other procedural indulgence. Costs may not be an adequate remedy for the prejudice that the other party will suffer or for any disruption to the court and other litigants. An amendment that would have the effect of vacating a trial date is especially serious. </w:t>
      </w:r>
    </w:p>
    <w:p w14:paraId="551138E9" w14:textId="77777777" w:rsidR="004722B0" w:rsidRPr="00764F85" w:rsidRDefault="004722B0" w:rsidP="00764F85">
      <w:pPr>
        <w:keepNext/>
        <w:spacing w:line="480" w:lineRule="auto"/>
      </w:pPr>
      <w:r w:rsidRPr="00764F85">
        <w:t xml:space="preserve">In laying down these principles the High Court refused to adhere to its approach to these issues in </w:t>
      </w:r>
      <w:r w:rsidRPr="00764F85">
        <w:rPr>
          <w:i/>
        </w:rPr>
        <w:t>J L Holdings</w:t>
      </w:r>
      <w:r w:rsidRPr="00764F85">
        <w:t xml:space="preserve">, and returned to the position that was established previously in </w:t>
      </w:r>
      <w:r w:rsidRPr="00764F85">
        <w:rPr>
          <w:i/>
        </w:rPr>
        <w:t>Sali v SPC Ltd</w:t>
      </w:r>
      <w:r w:rsidRPr="00764F85">
        <w:t>.</w:t>
      </w:r>
      <w:r w:rsidRPr="00764F85">
        <w:rPr>
          <w:rStyle w:val="FootnoteReference"/>
        </w:rPr>
        <w:footnoteReference w:id="16"/>
      </w:r>
      <w:r w:rsidRPr="00764F85">
        <w:t xml:space="preserve">  In </w:t>
      </w:r>
      <w:r w:rsidRPr="00764F85">
        <w:rPr>
          <w:i/>
        </w:rPr>
        <w:t>Sali</w:t>
      </w:r>
      <w:r w:rsidRPr="00764F85">
        <w:t xml:space="preserve"> it was recognised that:</w:t>
      </w:r>
      <w:r w:rsidRPr="00764F85">
        <w:rPr>
          <w:rStyle w:val="FootnoteReference"/>
        </w:rPr>
        <w:footnoteReference w:id="17"/>
      </w:r>
    </w:p>
    <w:p w14:paraId="10C13583"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What might be perceived as an injustice to a party when considered only in the context of an action between parties may not be so when considered in a context which includes the claims of other litigants and the public interest in achieving the most efficient use of court resources.</w:t>
      </w:r>
    </w:p>
    <w:p w14:paraId="5F2EA786" w14:textId="77777777" w:rsidR="004722B0" w:rsidRPr="00764F85" w:rsidRDefault="004722B0" w:rsidP="00764F85">
      <w:pPr>
        <w:keepNext/>
        <w:spacing w:line="480" w:lineRule="auto"/>
      </w:pPr>
      <w:r w:rsidRPr="00764F85">
        <w:t xml:space="preserve">Thus, in </w:t>
      </w:r>
      <w:r w:rsidRPr="00764F85">
        <w:rPr>
          <w:i/>
        </w:rPr>
        <w:t>Aon</w:t>
      </w:r>
      <w:r w:rsidRPr="00764F85">
        <w:t>, the High Court reemphasised that it is not sufficient to pursue just procedural outcomes merely by reference to the interests of the parties to the particular proceeding.  The effects that a procedural decision will have on other litigants and on the public’s interest in the efficient use of the Court’s resources must also be taken into account.</w:t>
      </w:r>
    </w:p>
    <w:p w14:paraId="1BDD9DB8" w14:textId="77777777" w:rsidR="004722B0" w:rsidRPr="00764F85" w:rsidRDefault="004722B0" w:rsidP="00764F85">
      <w:pPr>
        <w:keepNext/>
        <w:spacing w:line="480" w:lineRule="auto"/>
      </w:pPr>
      <w:r w:rsidRPr="00764F85">
        <w:t>The notion that parties to a proceeding are not entitled to consume an unlimited amount of public resources in pursuit of their own interests seems eminently sensible and reasonable.</w:t>
      </w:r>
      <w:r w:rsidRPr="00764F85">
        <w:rPr>
          <w:rStyle w:val="FootnoteReference"/>
        </w:rPr>
        <w:footnoteReference w:id="18"/>
      </w:r>
      <w:r w:rsidRPr="00764F85">
        <w:t xml:space="preserve"> It might be thought to be curious that this has not been the prevailing sentiment at the highest appellate levels for some time.  Nevertheless, other jurisdictions have experienced the same phenomenon.  In his reflection on the changes in civil litigation in England since the reform of the </w:t>
      </w:r>
      <w:r w:rsidRPr="00764F85">
        <w:rPr>
          <w:i/>
        </w:rPr>
        <w:t>English Civil Procedure Rules</w:t>
      </w:r>
      <w:r w:rsidRPr="00764F85">
        <w:t xml:space="preserve"> </w:t>
      </w:r>
      <w:r w:rsidRPr="00764F85">
        <w:rPr>
          <w:i/>
        </w:rPr>
        <w:t>1998</w:t>
      </w:r>
      <w:r w:rsidRPr="00764F85">
        <w:t xml:space="preserve"> (the “Woolf reforms”</w:t>
      </w:r>
      <w:r w:rsidRPr="00764F85">
        <w:rPr>
          <w:rStyle w:val="FootnoteReference"/>
        </w:rPr>
        <w:footnoteReference w:id="19"/>
      </w:r>
      <w:r w:rsidRPr="00764F85">
        <w:t xml:space="preserve">), Professor Zuckerman lamented that the benefits that were hoped for in 1998 have not materialised.  He suggested that this is because of the primacy that the courts have continued to place on the rights of parties to pursue their own interests at the expense </w:t>
      </w:r>
      <w:r w:rsidRPr="00764F85">
        <w:lastRenderedPageBreak/>
        <w:t>of other litigants and the public.</w:t>
      </w:r>
      <w:r w:rsidRPr="00764F85">
        <w:rPr>
          <w:rStyle w:val="FootnoteReference"/>
        </w:rPr>
        <w:footnoteReference w:id="20"/>
      </w:r>
      <w:r w:rsidRPr="00764F85">
        <w:rPr>
          <w:rStyle w:val="FootnoteReference"/>
        </w:rPr>
        <w:t xml:space="preserve"> </w:t>
      </w:r>
    </w:p>
    <w:p w14:paraId="1FF84DC0" w14:textId="77777777" w:rsidR="004722B0" w:rsidRPr="00764F85" w:rsidRDefault="004722B0" w:rsidP="00764F85">
      <w:pPr>
        <w:keepNext/>
        <w:spacing w:line="480" w:lineRule="auto"/>
      </w:pPr>
      <w:r w:rsidRPr="00764F85">
        <w:t xml:space="preserve">Clearly, the reluctance to accept fully the pre-eminent importance of case management powers is borne out of a principled, but perhaps overzealous, adherence to the belief that a procedural decision should never be allowed to impede the vindication of a substantive right.  In Australia, until </w:t>
      </w:r>
      <w:r w:rsidRPr="00764F85">
        <w:rPr>
          <w:i/>
        </w:rPr>
        <w:t>Aon</w:t>
      </w:r>
      <w:r w:rsidRPr="00764F85">
        <w:t xml:space="preserve">, this belief has arguably, as in England, held too much sway at the highest appellate levels.  As the procedural history of </w:t>
      </w:r>
      <w:r w:rsidRPr="00764F85">
        <w:rPr>
          <w:i/>
        </w:rPr>
        <w:t>Aon</w:t>
      </w:r>
      <w:r w:rsidRPr="00764F85">
        <w:t xml:space="preserve"> demonstrated, it has often been used to justify delay and inefficiency on the part of a litigant – at the expense of other litigants, courts, and the public.  The High Court stated explicitly - and emphasised - that this is no longer acceptable.  The plurality recognised ‘that delay and costs are undesirable and that delay has deleterious effects, not only upon the party to the proceedings in question, but also to other litigants’.</w:t>
      </w:r>
      <w:r w:rsidRPr="00764F85">
        <w:rPr>
          <w:rStyle w:val="FootnoteReference"/>
        </w:rPr>
        <w:footnoteReference w:id="21"/>
      </w:r>
    </w:p>
    <w:p w14:paraId="13CB712E" w14:textId="77777777" w:rsidR="004722B0" w:rsidRPr="00764F85" w:rsidRDefault="004722B0" w:rsidP="00764F85">
      <w:pPr>
        <w:keepNext/>
        <w:spacing w:line="480" w:lineRule="auto"/>
      </w:pPr>
      <w:r w:rsidRPr="00764F85">
        <w:t xml:space="preserve">Thus </w:t>
      </w:r>
      <w:r w:rsidRPr="00764F85">
        <w:rPr>
          <w:i/>
        </w:rPr>
        <w:t>Aon</w:t>
      </w:r>
      <w:r w:rsidRPr="00764F85">
        <w:t xml:space="preserve"> gives critical acknowledgement at the highest level to the legitimacy of a court rejecting an application based on the conduct of an applicant in the context of the procedural history of a matter.  Importantly, this is not the same as saying that ‘every application should be refused because it involves the waste of some costs and some degree of delay’.</w:t>
      </w:r>
      <w:r w:rsidRPr="00764F85">
        <w:rPr>
          <w:rStyle w:val="FootnoteReference"/>
        </w:rPr>
        <w:footnoteReference w:id="22"/>
      </w:r>
      <w:r w:rsidRPr="00764F85">
        <w:t xml:space="preserve">  A key point to recognise is that the </w:t>
      </w:r>
      <w:r w:rsidRPr="00764F85">
        <w:rPr>
          <w:i/>
        </w:rPr>
        <w:t>Aon</w:t>
      </w:r>
      <w:r w:rsidRPr="00764F85">
        <w:t xml:space="preserve"> approach does not change the fundamental purpose of a court, particularly a State Supreme Court as a fundamental part of the judicial system in this country.</w:t>
      </w:r>
      <w:r w:rsidRPr="00764F85">
        <w:rPr>
          <w:rStyle w:val="FootnoteReference"/>
        </w:rPr>
        <w:footnoteReference w:id="23"/>
      </w:r>
      <w:r w:rsidRPr="00764F85">
        <w:t xml:space="preserve"> It is emphasised in the judgments that parties ought to have ‘proper opportunity to plead their case’ and ‘sufficient opportunity to identify the issues they seek to agitate’.  Rather, the significance of </w:t>
      </w:r>
      <w:r w:rsidRPr="00764F85">
        <w:rPr>
          <w:i/>
        </w:rPr>
        <w:t>Aon</w:t>
      </w:r>
      <w:r w:rsidRPr="00764F85">
        <w:t xml:space="preserve"> is that it establishes that a trial judge is entitled to, and indeed must, make an assessment of whether an application is reasonable in the context of judicial case management.  It is no longer acceptable for judges to maintain a ‘single minded attachment to justice on the merits to the exclusion of everything else’.</w:t>
      </w:r>
      <w:r w:rsidRPr="00764F85">
        <w:rPr>
          <w:rStyle w:val="FootnoteReference"/>
        </w:rPr>
        <w:footnoteReference w:id="24"/>
      </w:r>
    </w:p>
    <w:p w14:paraId="7EC1AE8D" w14:textId="77777777" w:rsidR="004722B0" w:rsidRPr="00764F85" w:rsidRDefault="004722B0" w:rsidP="00764F85">
      <w:pPr>
        <w:keepNext/>
        <w:tabs>
          <w:tab w:val="num" w:pos="1440"/>
        </w:tabs>
        <w:spacing w:line="480" w:lineRule="auto"/>
        <w:outlineLvl w:val="0"/>
      </w:pPr>
      <w:r w:rsidRPr="00764F85">
        <w:t xml:space="preserve">Since </w:t>
      </w:r>
      <w:r w:rsidRPr="00764F85">
        <w:rPr>
          <w:i/>
        </w:rPr>
        <w:t>Aon</w:t>
      </w:r>
      <w:r w:rsidRPr="00764F85">
        <w:t xml:space="preserve"> was handed down, numerous judgments around Australia have referred to the decision.</w:t>
      </w:r>
      <w:r w:rsidRPr="00764F85">
        <w:rPr>
          <w:rStyle w:val="FootnoteReference"/>
        </w:rPr>
        <w:footnoteReference w:id="25"/>
      </w:r>
      <w:r w:rsidRPr="00764F85">
        <w:t xml:space="preserve"> It is beyond the scope of this paper to analyse each of these cases, but, for the most part, the judgments refer to </w:t>
      </w:r>
      <w:r w:rsidRPr="00764F85">
        <w:rPr>
          <w:i/>
        </w:rPr>
        <w:t>Aon</w:t>
      </w:r>
      <w:r w:rsidRPr="00764F85">
        <w:t xml:space="preserve"> for the general principles it sets down in relation to procedural applications and the relevance of case management. In cases where the procedural history of a matter clearly shows unjustifiable delay, obstruction, or inefficiency, procedural indulgences have not been </w:t>
      </w:r>
      <w:r w:rsidRPr="00764F85">
        <w:lastRenderedPageBreak/>
        <w:t>allowed.</w:t>
      </w:r>
      <w:r w:rsidRPr="00764F85">
        <w:rPr>
          <w:rStyle w:val="FootnoteReference"/>
        </w:rPr>
        <w:footnoteReference w:id="26"/>
      </w:r>
      <w:r w:rsidRPr="00764F85">
        <w:t xml:space="preserve">  However, around the edges, where procedural indulgences are not so clear cut, I suspect that the practical significance of </w:t>
      </w:r>
      <w:r w:rsidRPr="00764F85">
        <w:rPr>
          <w:i/>
        </w:rPr>
        <w:t>Aon</w:t>
      </w:r>
      <w:r w:rsidRPr="00764F85">
        <w:t xml:space="preserve"> remains to be seen.  </w:t>
      </w:r>
    </w:p>
    <w:p w14:paraId="675243F1" w14:textId="77777777" w:rsidR="004722B0" w:rsidRPr="00764F85" w:rsidRDefault="004722B0" w:rsidP="00764F85">
      <w:pPr>
        <w:keepNext/>
        <w:tabs>
          <w:tab w:val="num" w:pos="1440"/>
        </w:tabs>
        <w:spacing w:line="480" w:lineRule="auto"/>
        <w:outlineLvl w:val="0"/>
        <w:rPr>
          <w:highlight w:val="yellow"/>
        </w:rPr>
      </w:pPr>
      <w:r w:rsidRPr="00764F85">
        <w:rPr>
          <w:b/>
        </w:rPr>
        <w:t>Case management and the Commercial Court rules</w:t>
      </w:r>
    </w:p>
    <w:p w14:paraId="5A0563F8" w14:textId="77777777" w:rsidR="004722B0" w:rsidRPr="00764F85" w:rsidRDefault="004722B0" w:rsidP="00764F85">
      <w:pPr>
        <w:keepNext/>
        <w:tabs>
          <w:tab w:val="num" w:pos="1440"/>
        </w:tabs>
        <w:spacing w:line="480" w:lineRule="auto"/>
      </w:pPr>
      <w:r w:rsidRPr="00764F85">
        <w:t xml:space="preserve">The most important rules and procedures applicable to the Commercial Court are the </w:t>
      </w:r>
      <w:r w:rsidRPr="00764F85">
        <w:rPr>
          <w:i/>
        </w:rPr>
        <w:t>Supreme Court (General Civil Procedure Rules) 2005</w:t>
      </w:r>
      <w:r w:rsidRPr="00764F85">
        <w:t xml:space="preserve"> and those set out in the </w:t>
      </w:r>
      <w:r w:rsidRPr="00764F85">
        <w:rPr>
          <w:i/>
        </w:rPr>
        <w:t>Green Book</w:t>
      </w:r>
      <w:r w:rsidRPr="00764F85">
        <w:t>.</w:t>
      </w:r>
      <w:r w:rsidRPr="00764F85">
        <w:rPr>
          <w:rStyle w:val="FootnoteReference"/>
        </w:rPr>
        <w:footnoteReference w:id="27"/>
      </w:r>
      <w:r w:rsidRPr="00764F85">
        <w:t xml:space="preserve"> It is in the context of the “Court Objective and Policies”  of the Commercial Court that procedural issues are to be determined.</w:t>
      </w:r>
      <w:r w:rsidRPr="00764F85">
        <w:rPr>
          <w:rStyle w:val="FootnoteReference"/>
        </w:rPr>
        <w:footnoteReference w:id="28"/>
      </w:r>
      <w:r w:rsidRPr="00764F85">
        <w:t xml:space="preserve"> The </w:t>
      </w:r>
      <w:r w:rsidRPr="00764F85">
        <w:rPr>
          <w:i/>
        </w:rPr>
        <w:t>Green Book</w:t>
      </w:r>
      <w:r w:rsidRPr="00764F85">
        <w:t xml:space="preserve"> contains detailed and specific provisions for the procedural steps of a Commercial Court proceeding – such as first direction</w:t>
      </w:r>
      <w:r w:rsidRPr="00764F85">
        <w:rPr>
          <w:b/>
        </w:rPr>
        <w:t xml:space="preserve">s, </w:t>
      </w:r>
      <w:r w:rsidRPr="00764F85">
        <w:t>further directions, case management conferences and other applications</w:t>
      </w:r>
      <w:r w:rsidRPr="00764F85">
        <w:rPr>
          <w:b/>
        </w:rPr>
        <w:t xml:space="preserve">. </w:t>
      </w:r>
      <w:r w:rsidRPr="00764F85">
        <w:t>Each provision is, however, subject to the overriding requirement to give effect to the Court Objective, which is not to be triumphed over by procedural issues and delays.</w:t>
      </w:r>
    </w:p>
    <w:p w14:paraId="1BD8FEC2" w14:textId="77777777" w:rsidR="004722B0" w:rsidRPr="00764F85" w:rsidRDefault="004722B0" w:rsidP="00764F85">
      <w:pPr>
        <w:keepNext/>
        <w:tabs>
          <w:tab w:val="num" w:pos="1440"/>
        </w:tabs>
        <w:spacing w:line="480" w:lineRule="auto"/>
        <w:outlineLvl w:val="0"/>
      </w:pPr>
      <w:r w:rsidRPr="00764F85">
        <w:t>Parties are entitled to raise all matters of controversy in their dispute. The Commercial Court’s procedures are very effective at identifying the issues. This often occurs at an early stage in the management of the case, and parties at this stage will frequently be given leave to amend their pleadings to reflect all matters actually in dispute. However, because the parties are given such a comprehensive opportunity to raise any issues in dispute, once pleadings are closed and the Case Management Conference</w:t>
      </w:r>
      <w:r w:rsidRPr="00764F85">
        <w:rPr>
          <w:rStyle w:val="FootnoteReference"/>
        </w:rPr>
        <w:footnoteReference w:id="29"/>
      </w:r>
      <w:r w:rsidRPr="00764F85">
        <w:t xml:space="preserve"> has been completed only in rare cases will a party be able to raise new issues. </w:t>
      </w:r>
    </w:p>
    <w:p w14:paraId="6EB20DE6" w14:textId="77777777" w:rsidR="004722B0" w:rsidRPr="00764F85" w:rsidRDefault="004722B0" w:rsidP="00764F85">
      <w:pPr>
        <w:keepNext/>
        <w:autoSpaceDE w:val="0"/>
        <w:autoSpaceDN w:val="0"/>
        <w:adjustRightInd w:val="0"/>
        <w:spacing w:line="480" w:lineRule="auto"/>
        <w:rPr>
          <w:b/>
        </w:rPr>
      </w:pPr>
      <w:r w:rsidRPr="00764F85">
        <w:t xml:space="preserve">Section 29(2) of the </w:t>
      </w:r>
      <w:r w:rsidRPr="00764F85">
        <w:rPr>
          <w:i/>
        </w:rPr>
        <w:t>Supreme Court Act 1986</w:t>
      </w:r>
      <w:r w:rsidRPr="00764F85">
        <w:t xml:space="preserve"> (Vic) states that the Court “must so exercise its jurisdiction in every proceeding before it as to secure that, as far as possible, all matters in dispute between the parties are completely and finally determined, and all multiplicity of proceedings concerning any of those matters is avoided.” </w:t>
      </w:r>
    </w:p>
    <w:p w14:paraId="3FCC1DF3" w14:textId="77777777" w:rsidR="004722B0" w:rsidRPr="00764F85" w:rsidRDefault="004722B0" w:rsidP="00764F85">
      <w:pPr>
        <w:keepNext/>
        <w:autoSpaceDE w:val="0"/>
        <w:autoSpaceDN w:val="0"/>
        <w:adjustRightInd w:val="0"/>
        <w:spacing w:line="480" w:lineRule="auto"/>
      </w:pPr>
      <w:r w:rsidRPr="00764F85">
        <w:t xml:space="preserve">Rule 1.14 of the </w:t>
      </w:r>
      <w:r w:rsidRPr="00764F85">
        <w:rPr>
          <w:i/>
        </w:rPr>
        <w:t xml:space="preserve">Supreme Court (General Civil Procedure) Rules 2005 </w:t>
      </w:r>
      <w:r w:rsidRPr="00764F85">
        <w:t>provides:</w:t>
      </w:r>
    </w:p>
    <w:p w14:paraId="14A5D49D"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(1) In exercising any power under these Rules the Court—</w:t>
      </w:r>
    </w:p>
    <w:p w14:paraId="38DA3CA3" w14:textId="77777777" w:rsidR="004722B0" w:rsidRPr="00764F85" w:rsidRDefault="004722B0" w:rsidP="00764F85">
      <w:pPr>
        <w:pStyle w:val="BodyText"/>
        <w:keepNext/>
        <w:spacing w:line="480" w:lineRule="auto"/>
        <w:ind w:left="1440" w:hanging="720"/>
        <w:rPr>
          <w:rFonts w:ascii="Arial" w:hAnsi="Arial" w:cs="Arial"/>
          <w:szCs w:val="22"/>
        </w:rPr>
      </w:pPr>
      <w:r w:rsidRPr="00764F85">
        <w:rPr>
          <w:rFonts w:ascii="Arial" w:hAnsi="Arial" w:cs="Arial"/>
          <w:szCs w:val="22"/>
        </w:rPr>
        <w:t xml:space="preserve">(a) </w:t>
      </w:r>
      <w:r w:rsidRPr="00764F85">
        <w:rPr>
          <w:rFonts w:ascii="Arial" w:hAnsi="Arial" w:cs="Arial"/>
          <w:szCs w:val="22"/>
        </w:rPr>
        <w:tab/>
        <w:t>shall endeavour to ensure that all questions in the proceeding are effectively, completely, promptly and economically determined;</w:t>
      </w:r>
    </w:p>
    <w:p w14:paraId="27551C7F" w14:textId="77777777" w:rsidR="004722B0" w:rsidRPr="00764F85" w:rsidRDefault="004722B0" w:rsidP="00764F85">
      <w:pPr>
        <w:pStyle w:val="BodyText"/>
        <w:keepNext/>
        <w:spacing w:line="480" w:lineRule="auto"/>
        <w:ind w:left="1440" w:hanging="720"/>
        <w:rPr>
          <w:rFonts w:ascii="Arial" w:hAnsi="Arial" w:cs="Arial"/>
          <w:szCs w:val="22"/>
        </w:rPr>
      </w:pPr>
      <w:r w:rsidRPr="00764F85">
        <w:rPr>
          <w:rFonts w:ascii="Arial" w:hAnsi="Arial" w:cs="Arial"/>
          <w:szCs w:val="22"/>
        </w:rPr>
        <w:t>(b)</w:t>
      </w:r>
      <w:r w:rsidRPr="00764F85">
        <w:rPr>
          <w:rFonts w:ascii="Arial" w:hAnsi="Arial" w:cs="Arial"/>
          <w:szCs w:val="22"/>
        </w:rPr>
        <w:tab/>
        <w:t>may give any direction or impose any term or condition it thinks fit.</w:t>
      </w:r>
    </w:p>
    <w:p w14:paraId="07330177"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(2) The Court may exercise any power under these Rules of its own motion or on the application of a party or of any person who has a sufficient interest.</w:t>
      </w:r>
    </w:p>
    <w:p w14:paraId="4ACBF717" w14:textId="77777777" w:rsidR="004722B0" w:rsidRPr="00764F85" w:rsidRDefault="004722B0" w:rsidP="00764F85">
      <w:pPr>
        <w:keepNext/>
        <w:tabs>
          <w:tab w:val="num" w:pos="1440"/>
        </w:tabs>
        <w:spacing w:line="480" w:lineRule="auto"/>
      </w:pPr>
      <w:r w:rsidRPr="00764F85">
        <w:t xml:space="preserve">These mandatory provisions of the Act and the Rules are not inconsistent with the approach in </w:t>
      </w:r>
      <w:r w:rsidRPr="00764F85">
        <w:rPr>
          <w:i/>
        </w:rPr>
        <w:t>Aon.</w:t>
      </w:r>
      <w:r w:rsidRPr="00764F85">
        <w:t xml:space="preserve"> </w:t>
      </w:r>
      <w:r w:rsidRPr="00764F85">
        <w:lastRenderedPageBreak/>
        <w:t xml:space="preserve">In substance, their combined effect is that “as far as possible” the Court “must endeavour to ensure” that “all matters in dispute are complete and finally determined” and that “all questions in the proceeding are…completely…determined”. </w:t>
      </w:r>
    </w:p>
    <w:p w14:paraId="0DD3046D" w14:textId="77777777" w:rsidR="004722B0" w:rsidRPr="00764F85" w:rsidRDefault="004722B0" w:rsidP="00764F85">
      <w:pPr>
        <w:keepNext/>
        <w:tabs>
          <w:tab w:val="num" w:pos="1440"/>
        </w:tabs>
        <w:spacing w:line="480" w:lineRule="auto"/>
      </w:pPr>
      <w:r w:rsidRPr="00764F85">
        <w:t>The Commercial Court is not a court which is at all accommodating of time wasting, tactical, technical pleadings applications. It will not join in a “procedural orgy” the like of which have been only too prevalent in the courts for very many years in relation to the content and phraseology of pleadings and particulars. It is all the more a sad and unedifying spectacle, as we know from bitter experience, that these issues, which were often so hard-fought and at great expense, seldom mattered much, if at all, in the end as each party was really well aware of the case it had to meet. And, in any event, the importance of pleadings “battles” is further diminished when, at trial, evidence is led that does not go to proving a material fact in the hard-fought for pleading.</w:t>
      </w:r>
      <w:r w:rsidRPr="00764F85">
        <w:rPr>
          <w:rStyle w:val="FootnoteReference"/>
        </w:rPr>
        <w:footnoteReference w:id="30"/>
      </w:r>
      <w:r w:rsidRPr="00764F85">
        <w:t xml:space="preserve"> In circumstances where the parties disregard their pleadings “and meet each other on issues fairly fought out, it is impossible for either of them to hark back to the pleadings and treat them as governing the area of contest”.</w:t>
      </w:r>
      <w:r w:rsidRPr="00764F85">
        <w:rPr>
          <w:rStyle w:val="FootnoteReference"/>
        </w:rPr>
        <w:footnoteReference w:id="31"/>
      </w:r>
    </w:p>
    <w:p w14:paraId="735D7F9E" w14:textId="77777777" w:rsidR="004722B0" w:rsidRPr="00764F85" w:rsidRDefault="004722B0" w:rsidP="00764F85">
      <w:pPr>
        <w:keepNext/>
        <w:tabs>
          <w:tab w:val="num" w:pos="1440"/>
        </w:tabs>
        <w:spacing w:line="480" w:lineRule="auto"/>
      </w:pPr>
      <w:r w:rsidRPr="00764F85">
        <w:t xml:space="preserve">For the purpose of amendment of pleadings, in </w:t>
      </w:r>
      <w:r w:rsidRPr="00764F85">
        <w:rPr>
          <w:i/>
        </w:rPr>
        <w:t xml:space="preserve"> Aon </w:t>
      </w:r>
      <w:r w:rsidRPr="00764F85">
        <w:t>the High Court acknowledged in relation to the words “real issues in the proceeding”,</w:t>
      </w:r>
      <w:r w:rsidRPr="00764F85">
        <w:rPr>
          <w:rStyle w:val="FootnoteReference"/>
        </w:rPr>
        <w:footnoteReference w:id="32"/>
      </w:r>
      <w:r w:rsidRPr="00764F85">
        <w:t xml:space="preserve"> that the “matters in dispute or the “questions” in the proceeding may expand beyond the pleadings as drafted at a particular time.</w:t>
      </w:r>
      <w:r w:rsidRPr="00764F85">
        <w:rPr>
          <w:rStyle w:val="FootnoteReference"/>
        </w:rPr>
        <w:footnoteReference w:id="33"/>
      </w:r>
      <w:r w:rsidRPr="00764F85">
        <w:t xml:space="preserve"> However, the matters in dispute must be those in dispute at the time and not something entirely new.</w:t>
      </w:r>
      <w:r w:rsidRPr="00764F85">
        <w:rPr>
          <w:rStyle w:val="FootnoteReference"/>
        </w:rPr>
        <w:footnoteReference w:id="34"/>
      </w:r>
    </w:p>
    <w:p w14:paraId="64F5CF2D" w14:textId="77777777" w:rsidR="004722B0" w:rsidRPr="00764F85" w:rsidRDefault="004722B0" w:rsidP="00764F85">
      <w:pPr>
        <w:keepNext/>
        <w:tabs>
          <w:tab w:val="num" w:pos="1440"/>
        </w:tabs>
        <w:spacing w:line="480" w:lineRule="auto"/>
      </w:pPr>
      <w:r w:rsidRPr="00764F85">
        <w:t>The Commercial Court process gives parties ample opportunity to raise issues in dispute. From the first directions hearing parties are invited to inform the court of the issues in dispute. At further directions hearings the judge is proactive in identifying the matters in dispute. Generally speaking, the matter will be ordered to mediation before a case management conference. Once the case management conference is reached the issues in dispute should be well defined. If the parties have fulfilled their obligations under the Commercial Court “Green Book”</w:t>
      </w:r>
      <w:r w:rsidRPr="00764F85">
        <w:rPr>
          <w:rStyle w:val="FootnoteReference"/>
        </w:rPr>
        <w:footnoteReference w:id="35"/>
      </w:r>
      <w:r w:rsidRPr="00764F85">
        <w:t xml:space="preserve"> this will almost certainly be the case. The draft list of issues as provided in the case management bundle confirms the matters in dispute. Once the case management conference is complete, usually with a trial date set down, the parties will, in almost all circumstances, be held to the issues already raised. Discretionary amendments under r 36.03(b) are unlikely. If amendments are allowed, parties can expect special costs orders. Practitioners may not escape unscathed either.</w:t>
      </w:r>
    </w:p>
    <w:p w14:paraId="4519D813" w14:textId="77777777" w:rsidR="004722B0" w:rsidRPr="00764F85" w:rsidRDefault="004722B0" w:rsidP="00764F85">
      <w:pPr>
        <w:keepNext/>
        <w:spacing w:line="480" w:lineRule="auto"/>
        <w:outlineLvl w:val="0"/>
      </w:pPr>
      <w:r w:rsidRPr="00764F85">
        <w:rPr>
          <w:b/>
        </w:rPr>
        <w:t>The importance of providing an explanation and the role of orders for costs</w:t>
      </w:r>
    </w:p>
    <w:p w14:paraId="0B832BDE" w14:textId="77777777" w:rsidR="004722B0" w:rsidRPr="00764F85" w:rsidRDefault="004722B0" w:rsidP="00764F85">
      <w:pPr>
        <w:keepNext/>
        <w:spacing w:line="480" w:lineRule="auto"/>
      </w:pPr>
      <w:r w:rsidRPr="00764F85">
        <w:t xml:space="preserve">A requirement emphasised in the </w:t>
      </w:r>
      <w:r w:rsidRPr="00764F85">
        <w:rPr>
          <w:i/>
        </w:rPr>
        <w:t>Aon</w:t>
      </w:r>
      <w:r w:rsidRPr="00764F85">
        <w:t xml:space="preserve"> decision is that significant importance will attach to any explanation or justification, or lack thereof, which is offered by an applicant seeking the benefit of a court’s discretion to grant a procedural indulgence.</w:t>
      </w:r>
      <w:r w:rsidRPr="00764F85">
        <w:rPr>
          <w:rStyle w:val="FootnoteReference"/>
        </w:rPr>
        <w:footnoteReference w:id="36"/>
      </w:r>
      <w:r w:rsidRPr="00764F85">
        <w:rPr>
          <w:rStyle w:val="FootnoteReference"/>
        </w:rPr>
        <w:t xml:space="preserve"> </w:t>
      </w:r>
      <w:r w:rsidRPr="00764F85">
        <w:t xml:space="preserve"> As recognised by the plurality: </w:t>
      </w:r>
      <w:r w:rsidRPr="00764F85">
        <w:rPr>
          <w:rStyle w:val="FootnoteReference"/>
        </w:rPr>
        <w:footnoteReference w:id="37"/>
      </w:r>
    </w:p>
    <w:p w14:paraId="4236AAC1"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lastRenderedPageBreak/>
        <w:t>Not only will they need to show that their application is brought in good faith, but they will also need to bring the circumstances giving rise to the amendment to the court's attention, so that they may be weighed against the effects of any delay and the objectives of the Rules.</w:t>
      </w:r>
    </w:p>
    <w:p w14:paraId="4641966A" w14:textId="77777777" w:rsidR="004722B0" w:rsidRPr="00764F85" w:rsidRDefault="004722B0" w:rsidP="00764F85">
      <w:pPr>
        <w:keepNext/>
        <w:spacing w:line="480" w:lineRule="auto"/>
      </w:pPr>
      <w:r w:rsidRPr="00764F85">
        <w:t xml:space="preserve">Again, it would appear to accord with basic common sense that a party should furnish a court with reasons and justification for seeking orders that will result in waste of the resources of the opposing litigant and the public (and hence the position of other litigants in other proceedings).  However, as identified in the joint judgement in </w:t>
      </w:r>
      <w:r w:rsidRPr="00764F85">
        <w:rPr>
          <w:i/>
        </w:rPr>
        <w:t>Aon</w:t>
      </w:r>
      <w:r w:rsidRPr="00764F85">
        <w:t>, there has been a tendency of litigants to perceive the granting of a procedural indulgence as ‘something approaching a right’ without need of adequate explanation.</w:t>
      </w:r>
      <w:r w:rsidRPr="00764F85">
        <w:rPr>
          <w:rStyle w:val="FootnoteReference"/>
        </w:rPr>
        <w:footnoteReference w:id="38"/>
      </w:r>
      <w:r w:rsidRPr="00764F85">
        <w:t xml:space="preserve">  In Australia, no doubt, this tendency was fuelled by </w:t>
      </w:r>
      <w:r w:rsidRPr="00764F85">
        <w:rPr>
          <w:i/>
        </w:rPr>
        <w:t>J L Holdings</w:t>
      </w:r>
      <w:r w:rsidRPr="00764F85">
        <w:t>.  The Trial Judge in that case made mention of the fact that no satisfactory explanation was provided by the applicant as to why the application was being sought so late in the proceedings.</w:t>
      </w:r>
      <w:r w:rsidRPr="00764F85">
        <w:rPr>
          <w:rStyle w:val="FootnoteReference"/>
        </w:rPr>
        <w:footnoteReference w:id="39"/>
      </w:r>
      <w:r w:rsidRPr="00764F85">
        <w:t xml:space="preserve">  The High Court, at that time, clearly thought the lack of explanation to be of lesser importance than the mere existence of an arguable case.  The High Court’s view has now changed.  Litigants should now assume that a court will conduct some rigorous inquiry into whether any waste of time or resources has been adequately justified by the applicant in the context of the particular proceedings.  </w:t>
      </w:r>
    </w:p>
    <w:p w14:paraId="5D34345A" w14:textId="77777777" w:rsidR="004722B0" w:rsidRPr="00764F85" w:rsidRDefault="004722B0" w:rsidP="00764F85">
      <w:pPr>
        <w:keepNext/>
        <w:spacing w:line="480" w:lineRule="auto"/>
      </w:pPr>
      <w:r w:rsidRPr="00764F85">
        <w:t>Similarly, the High Court said that it is necessary for a court to consider, and robustly, whether an order for costs can adequately ameliorate procedural indulgence.  In the joint judgement it was said that ‘an application for leave to amend a pleading should not be approached on the basis that a party is entitled to raise an arguable claim, subject to payment of costs … There is no such entitlement’.</w:t>
      </w:r>
      <w:r w:rsidRPr="00764F85">
        <w:rPr>
          <w:rStyle w:val="FootnoteReference"/>
        </w:rPr>
        <w:footnoteReference w:id="40"/>
      </w:r>
      <w:r w:rsidRPr="00764F85">
        <w:t xml:space="preserve">  The judgments expanded on this principle and emphasised that a consideration of the sufficiency of costs cannot occur without due reference to the impact of procedural inefficiency on other litigants and ‘public confidence in the judicial system’.</w:t>
      </w:r>
      <w:r w:rsidRPr="00764F85">
        <w:rPr>
          <w:rStyle w:val="FootnoteReference"/>
        </w:rPr>
        <w:footnoteReference w:id="41"/>
      </w:r>
    </w:p>
    <w:p w14:paraId="36C9445A" w14:textId="77777777" w:rsidR="004722B0" w:rsidRPr="00764F85" w:rsidRDefault="004722B0" w:rsidP="00764F85">
      <w:pPr>
        <w:keepNext/>
        <w:spacing w:line="480" w:lineRule="auto"/>
      </w:pPr>
      <w:r w:rsidRPr="00764F85">
        <w:t xml:space="preserve">Thus the High Court has changed the landscape in indicating that it is fundamentally important for litigants and courts to accept the limited mitigating role that an order for costs can play.  Orders for costs cannot compensate the litigants and the public who will bear the burden of the inefficient use of a court’s resources.  The High Court’s emphasis of this point is very important.  It means that litigants, and courts, will have to be frank about the possible shortcomings of an order for costs where procedural inefficiency is at issue and where these shortcomings are significant the balance will not favour procedural indulgence of a party.  </w:t>
      </w:r>
    </w:p>
    <w:p w14:paraId="624FFA7F" w14:textId="77777777" w:rsidR="004722B0" w:rsidRPr="00764F85" w:rsidRDefault="004722B0" w:rsidP="00764F85">
      <w:pPr>
        <w:keepNext/>
        <w:spacing w:line="480" w:lineRule="auto"/>
        <w:outlineLvl w:val="0"/>
        <w:rPr>
          <w:b/>
        </w:rPr>
      </w:pPr>
      <w:r w:rsidRPr="00764F85">
        <w:rPr>
          <w:b/>
        </w:rPr>
        <w:t>The Role of the Commercial Court Judge</w:t>
      </w:r>
    </w:p>
    <w:p w14:paraId="3149D71E" w14:textId="77777777" w:rsidR="004722B0" w:rsidRPr="00764F85" w:rsidRDefault="004722B0" w:rsidP="00764F85">
      <w:pPr>
        <w:keepNext/>
        <w:spacing w:line="480" w:lineRule="auto"/>
      </w:pPr>
      <w:r w:rsidRPr="00764F85">
        <w:t>In managing commercial disputes each Commercial Court judge is striving to achieve the Court Objective. In pursuing this objective, the work of the Commercial Court exemplifies the fact that the modern judicial task ‘requires skills and imposes burdens that historically formed no part of the judicial role.’</w:t>
      </w:r>
      <w:r w:rsidRPr="00764F85">
        <w:rPr>
          <w:rStyle w:val="FootnoteReference"/>
        </w:rPr>
        <w:footnoteReference w:id="42"/>
      </w:r>
      <w:r w:rsidRPr="00764F85">
        <w:t xml:space="preserve">  </w:t>
      </w:r>
    </w:p>
    <w:p w14:paraId="78CE72D6" w14:textId="77777777" w:rsidR="004722B0" w:rsidRPr="00764F85" w:rsidRDefault="004722B0" w:rsidP="00764F85">
      <w:pPr>
        <w:keepNext/>
        <w:spacing w:line="480" w:lineRule="auto"/>
      </w:pPr>
      <w:r w:rsidRPr="00764F85">
        <w:t xml:space="preserve">The </w:t>
      </w:r>
      <w:r w:rsidRPr="00764F85">
        <w:rPr>
          <w:i/>
        </w:rPr>
        <w:t>Green Book</w:t>
      </w:r>
      <w:r w:rsidRPr="00764F85">
        <w:t xml:space="preserve"> provides the framework in which the Commercial Court judge will operate.  But, as has been recognised by Professor Zuckerman, ‘[t]he presence of a management infrastructure is not sufficient to deliver the hoped for results. These can be delivered only by managers willing to use the management tools to best effect.’</w:t>
      </w:r>
      <w:r w:rsidRPr="00764F85">
        <w:rPr>
          <w:rStyle w:val="FootnoteReference"/>
        </w:rPr>
        <w:footnoteReference w:id="43"/>
      </w:r>
      <w:r w:rsidRPr="00764F85">
        <w:t xml:space="preserve">  Thus the task of the Commercial Court judge inherently </w:t>
      </w:r>
      <w:r w:rsidRPr="00764F85">
        <w:lastRenderedPageBreak/>
        <w:t>requires an understanding of  the unique circumstances of a case from the commencement of proceedings.  Having surveyed the issues, the challenge for the judge then becomes one of ‘striking the right balance’ as to the deployment of procedures that will deliver a just resolution in the most efficient way.  This requires frank acknowledgement that, at times “demands which arise in managing a dispute are frequently irreconcilable and push or pull in different directions.”</w:t>
      </w:r>
      <w:r w:rsidRPr="00764F85">
        <w:rPr>
          <w:rStyle w:val="FootnoteReference"/>
        </w:rPr>
        <w:footnoteReference w:id="44"/>
      </w:r>
      <w:r w:rsidRPr="00764F85">
        <w:t xml:space="preserve">  It also requires an appreciation of the fact that speed does not necessarily equate with efficiency</w:t>
      </w:r>
      <w:r w:rsidRPr="00764F85">
        <w:rPr>
          <w:rStyle w:val="FootnoteReference"/>
        </w:rPr>
        <w:footnoteReference w:id="45"/>
      </w:r>
      <w:r w:rsidRPr="00764F85">
        <w:t xml:space="preserve"> and that ‘there also remain limitations necessarily and rightly founded in the judicial fundamentals of impartiality and procedural fairness.’</w:t>
      </w:r>
      <w:r w:rsidRPr="00764F85">
        <w:rPr>
          <w:rStyle w:val="FootnoteReference"/>
        </w:rPr>
        <w:footnoteReference w:id="46"/>
      </w:r>
      <w:r w:rsidRPr="00764F85">
        <w:t xml:space="preserve">  Notwithstanding these issues and challenges, </w:t>
      </w:r>
      <w:r w:rsidRPr="00764F85">
        <w:rPr>
          <w:i/>
        </w:rPr>
        <w:t>Aon</w:t>
      </w:r>
      <w:r w:rsidRPr="00764F85">
        <w:t xml:space="preserve"> has confirmed that the objective of the Commercial Court is the kind of objective that judges must work hard to achieve.</w:t>
      </w:r>
    </w:p>
    <w:p w14:paraId="23186CE3" w14:textId="77777777" w:rsidR="004722B0" w:rsidRPr="00764F85" w:rsidRDefault="004722B0" w:rsidP="00764F85">
      <w:pPr>
        <w:keepNext/>
        <w:spacing w:line="480" w:lineRule="auto"/>
        <w:outlineLvl w:val="0"/>
        <w:rPr>
          <w:b/>
        </w:rPr>
      </w:pPr>
      <w:r w:rsidRPr="00764F85">
        <w:rPr>
          <w:b/>
        </w:rPr>
        <w:t>The Civil Procedure Bill 2010 (Vic)</w:t>
      </w:r>
    </w:p>
    <w:p w14:paraId="7B15FEBA" w14:textId="77777777" w:rsidR="004722B0" w:rsidRPr="00764F85" w:rsidRDefault="004722B0" w:rsidP="00764F85">
      <w:pPr>
        <w:keepNext/>
        <w:spacing w:line="480" w:lineRule="auto"/>
      </w:pPr>
      <w:r w:rsidRPr="00764F85">
        <w:t xml:space="preserve">On 22 June 2010, the Attorney-General, Mr Rob Hulls, introduced the </w:t>
      </w:r>
      <w:r w:rsidRPr="00764F85">
        <w:rPr>
          <w:i/>
        </w:rPr>
        <w:t>Civil Procedure Bill 2010</w:t>
      </w:r>
      <w:r w:rsidRPr="00764F85">
        <w:t xml:space="preserve"> (Vic) (the Bill) into the Legislative Assembly of the Victorian Parliament.</w:t>
      </w:r>
      <w:r w:rsidRPr="00764F85">
        <w:rPr>
          <w:rStyle w:val="FootnoteReference"/>
        </w:rPr>
        <w:footnoteReference w:id="47"/>
      </w:r>
      <w:r w:rsidRPr="00764F85">
        <w:t xml:space="preserve"> The bill was passed by the Legislative Council on 12 August 2010 and is awaiting Royal Assent. The Bill has significant parallels with legislation that endorses case management objectives and judicial application of case management principles in other Australian jurisdictions.</w:t>
      </w:r>
      <w:r w:rsidRPr="00764F85">
        <w:rPr>
          <w:rStyle w:val="FootnoteReference"/>
        </w:rPr>
        <w:footnoteReference w:id="48"/>
      </w:r>
      <w:r w:rsidRPr="00764F85">
        <w:t xml:space="preserve"> The Bill is another step towards the objectives that the judges in </w:t>
      </w:r>
      <w:r w:rsidRPr="00764F85">
        <w:rPr>
          <w:i/>
        </w:rPr>
        <w:t xml:space="preserve">Aon </w:t>
      </w:r>
      <w:r w:rsidRPr="00764F85">
        <w:t>had in mind and which the Commercial Court aims to achieve.  As has been recognised in extra-judicial writing by Justice Sackville:</w:t>
      </w:r>
      <w:r w:rsidRPr="00764F85">
        <w:rPr>
          <w:rStyle w:val="FootnoteReference"/>
        </w:rPr>
        <w:footnoteReference w:id="49"/>
      </w:r>
    </w:p>
    <w:p w14:paraId="15DA239A" w14:textId="77777777" w:rsidR="004722B0" w:rsidRPr="00764F85" w:rsidRDefault="004722B0" w:rsidP="00764F85">
      <w:pPr>
        <w:keepNext/>
        <w:spacing w:line="480" w:lineRule="auto"/>
        <w:ind w:left="720" w:right="926"/>
      </w:pPr>
      <w:r w:rsidRPr="00764F85">
        <w:t>There is a school of thought that specific legislative intervention in support of case management is unnecessary, since the rules or the inherent powers of the court confer ample authority on the judges to manage litigation in a manner that minimises delays and ensures that costs are proportionate to the matters in dispute.  This view underestimates the significance of legislation.</w:t>
      </w:r>
    </w:p>
    <w:p w14:paraId="6C949280" w14:textId="77777777" w:rsidR="004722B0" w:rsidRPr="00764F85" w:rsidRDefault="004722B0" w:rsidP="00764F85">
      <w:pPr>
        <w:keepNext/>
        <w:spacing w:line="480" w:lineRule="auto"/>
      </w:pPr>
      <w:r w:rsidRPr="00764F85">
        <w:t>Indeed, as has been recognised by Chief Justice Black (as he then was):</w:t>
      </w:r>
      <w:r w:rsidRPr="00764F85">
        <w:rPr>
          <w:rStyle w:val="FootnoteReference"/>
        </w:rPr>
        <w:t xml:space="preserve"> </w:t>
      </w:r>
      <w:r w:rsidRPr="00764F85">
        <w:rPr>
          <w:rStyle w:val="FootnoteReference"/>
        </w:rPr>
        <w:footnoteReference w:id="50"/>
      </w:r>
    </w:p>
    <w:p w14:paraId="1AC52440"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 xml:space="preserve">Any legislative indication of policy must stand as a powerful indication of the will of the Parliament about the values sought to be achieved by the way in which cases are managed in the courts and the balances that have to be struck … Legislation imposing positive duties upon litigants and practitioners will help to change attitudes and, within constitutionally permissible limits, will confirm that judges do have the power they need to require parties </w:t>
      </w:r>
      <w:r w:rsidRPr="00764F85">
        <w:rPr>
          <w:rFonts w:ascii="Arial" w:hAnsi="Arial" w:cs="Arial"/>
          <w:szCs w:val="22"/>
        </w:rPr>
        <w:lastRenderedPageBreak/>
        <w:t>to cooperate to bring about the just resolution of disputes as quickly, inexpensively and efficiently as possible.</w:t>
      </w:r>
      <w:r w:rsidRPr="00764F85">
        <w:rPr>
          <w:rStyle w:val="FootnoteReference"/>
          <w:rFonts w:ascii="Arial" w:hAnsi="Arial" w:cs="Arial"/>
          <w:szCs w:val="22"/>
        </w:rPr>
        <w:t xml:space="preserve"> </w:t>
      </w:r>
    </w:p>
    <w:p w14:paraId="180C6685" w14:textId="77777777" w:rsidR="004722B0" w:rsidRPr="00764F85" w:rsidRDefault="004722B0" w:rsidP="00764F85">
      <w:pPr>
        <w:keepNext/>
        <w:spacing w:line="480" w:lineRule="auto"/>
        <w:rPr>
          <w:i/>
        </w:rPr>
      </w:pPr>
      <w:r w:rsidRPr="00764F85">
        <w:t>Against this background some of the key features of the current Bill should be noted.</w:t>
      </w:r>
    </w:p>
    <w:p w14:paraId="2EC5C9CB" w14:textId="77777777" w:rsidR="004722B0" w:rsidRPr="00764F85" w:rsidRDefault="004722B0" w:rsidP="00764F85">
      <w:pPr>
        <w:keepNext/>
        <w:spacing w:line="480" w:lineRule="auto"/>
        <w:outlineLvl w:val="0"/>
        <w:rPr>
          <w:i/>
        </w:rPr>
      </w:pPr>
    </w:p>
    <w:p w14:paraId="74DB438A" w14:textId="77777777" w:rsidR="004722B0" w:rsidRPr="00764F85" w:rsidRDefault="004722B0" w:rsidP="00764F85">
      <w:pPr>
        <w:keepNext/>
        <w:spacing w:line="480" w:lineRule="auto"/>
        <w:outlineLvl w:val="0"/>
        <w:rPr>
          <w:i/>
        </w:rPr>
      </w:pPr>
      <w:r w:rsidRPr="00764F85">
        <w:rPr>
          <w:i/>
        </w:rPr>
        <w:t>An ‘overarching purpose’ for the courts</w:t>
      </w:r>
    </w:p>
    <w:p w14:paraId="1ABAFA53" w14:textId="77777777" w:rsidR="004722B0" w:rsidRPr="00764F85" w:rsidRDefault="004722B0" w:rsidP="00764F85">
      <w:pPr>
        <w:keepNext/>
        <w:spacing w:line="480" w:lineRule="auto"/>
      </w:pPr>
      <w:r w:rsidRPr="00764F85">
        <w:t>In the words used by the Attorney General in his Second Reading speech, the Bill seeks to introduce:</w:t>
      </w:r>
      <w:r w:rsidRPr="00764F85">
        <w:rPr>
          <w:rStyle w:val="FootnoteReference"/>
        </w:rPr>
        <w:t xml:space="preserve"> </w:t>
      </w:r>
      <w:r w:rsidRPr="00764F85">
        <w:rPr>
          <w:rStyle w:val="FootnoteReference"/>
        </w:rPr>
        <w:footnoteReference w:id="51"/>
      </w:r>
      <w:r w:rsidRPr="00764F85">
        <w:t xml:space="preserve">  </w:t>
      </w:r>
    </w:p>
    <w:p w14:paraId="1221F8EE"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[A] uniform statutory statement to define the overarching purpose of the courts, which is to facilitate the just, efficient, timely and cost-effective resolution of the real issues in dispute … The courts will be required to give effect to the overarching purpose when exercising powers or interpreting their powers.</w:t>
      </w:r>
    </w:p>
    <w:p w14:paraId="3C576D78" w14:textId="77777777" w:rsidR="004722B0" w:rsidRPr="00764F85" w:rsidRDefault="004722B0" w:rsidP="00764F85">
      <w:pPr>
        <w:pStyle w:val="BodyText"/>
        <w:keepNext/>
        <w:spacing w:after="0" w:line="480" w:lineRule="auto"/>
        <w:ind w:left="0"/>
        <w:rPr>
          <w:rFonts w:ascii="Arial" w:hAnsi="Arial" w:cs="Arial"/>
          <w:szCs w:val="22"/>
        </w:rPr>
      </w:pPr>
      <w:r w:rsidRPr="00764F85">
        <w:rPr>
          <w:rFonts w:ascii="Arial" w:hAnsi="Arial" w:cs="Arial"/>
          <w:szCs w:val="22"/>
        </w:rPr>
        <w:t>The “Overarching Purpose” is set out in clause 7:</w:t>
      </w:r>
    </w:p>
    <w:p w14:paraId="010F787A" w14:textId="77777777" w:rsidR="004722B0" w:rsidRPr="00764F85" w:rsidRDefault="00764F85" w:rsidP="00764F85">
      <w:pPr>
        <w:keepNext/>
        <w:autoSpaceDE w:val="0"/>
        <w:autoSpaceDN w:val="0"/>
        <w:adjustRightInd w:val="0"/>
        <w:spacing w:after="120" w:line="480" w:lineRule="auto"/>
        <w:ind w:left="1440" w:right="922" w:hanging="720"/>
        <w:rPr>
          <w:rFonts w:eastAsia="TimesNewRomanPSMT"/>
        </w:rPr>
      </w:pPr>
      <w:r w:rsidRPr="00764F85">
        <w:rPr>
          <w:rFonts w:eastAsia="TimesNewRomanPSMT"/>
        </w:rPr>
        <w:t xml:space="preserve"> </w:t>
      </w:r>
      <w:r w:rsidR="004722B0" w:rsidRPr="00764F85">
        <w:rPr>
          <w:rFonts w:eastAsia="TimesNewRomanPSMT"/>
        </w:rPr>
        <w:t xml:space="preserve">(1) </w:t>
      </w:r>
      <w:r w:rsidR="004722B0" w:rsidRPr="00764F85">
        <w:rPr>
          <w:rFonts w:eastAsia="TimesNewRomanPSMT"/>
        </w:rPr>
        <w:tab/>
        <w:t>The overarching purpose of this Act and the rules of court in relation to civil proceedings is to facilitate the just, efficient, timely and cost effective resolution of the real issues in dispute.</w:t>
      </w:r>
    </w:p>
    <w:p w14:paraId="498D98AB" w14:textId="77777777" w:rsidR="004722B0" w:rsidRPr="00764F85" w:rsidRDefault="004722B0" w:rsidP="00764F85">
      <w:pPr>
        <w:keepNext/>
        <w:autoSpaceDE w:val="0"/>
        <w:autoSpaceDN w:val="0"/>
        <w:adjustRightInd w:val="0"/>
        <w:spacing w:after="120" w:line="480" w:lineRule="auto"/>
        <w:ind w:left="1440" w:right="922" w:hanging="720"/>
        <w:rPr>
          <w:rFonts w:eastAsia="TimesNewRomanPSMT"/>
        </w:rPr>
      </w:pPr>
      <w:r w:rsidRPr="00764F85">
        <w:rPr>
          <w:rFonts w:eastAsia="TimesNewRomanPSMT"/>
        </w:rPr>
        <w:t>(2)</w:t>
      </w:r>
      <w:r w:rsidRPr="00764F85">
        <w:rPr>
          <w:rFonts w:eastAsia="TimesNewRomanPSMT"/>
        </w:rPr>
        <w:tab/>
        <w:t>Without limiting how the overarching purpose is achieved, it may be achieved by—</w:t>
      </w:r>
    </w:p>
    <w:p w14:paraId="5826A260"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(a) the determination of the proceeding by the court;</w:t>
      </w:r>
    </w:p>
    <w:p w14:paraId="5D302267"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(b) agreement between the parties;</w:t>
      </w:r>
    </w:p>
    <w:p w14:paraId="1AA4A7FB"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(c) any appropriate dispute resolution process—</w:t>
      </w:r>
    </w:p>
    <w:p w14:paraId="39CD0480" w14:textId="77777777" w:rsidR="004722B0" w:rsidRPr="00764F85" w:rsidRDefault="004722B0" w:rsidP="00764F85">
      <w:pPr>
        <w:keepNext/>
        <w:autoSpaceDE w:val="0"/>
        <w:autoSpaceDN w:val="0"/>
        <w:adjustRightInd w:val="0"/>
        <w:spacing w:after="120" w:line="480" w:lineRule="auto"/>
        <w:ind w:left="1440" w:right="922" w:firstLine="720"/>
        <w:rPr>
          <w:rFonts w:eastAsia="TimesNewRomanPSMT"/>
        </w:rPr>
      </w:pPr>
      <w:r w:rsidRPr="00764F85">
        <w:rPr>
          <w:i/>
          <w:iCs/>
        </w:rPr>
        <w:t xml:space="preserve"> </w:t>
      </w:r>
      <w:r w:rsidRPr="00764F85">
        <w:rPr>
          <w:rFonts w:eastAsia="TimesNewRomanPSMT"/>
        </w:rPr>
        <w:t>(i) agreed to by the parties; or</w:t>
      </w:r>
    </w:p>
    <w:p w14:paraId="093284CF" w14:textId="77777777" w:rsidR="004722B0" w:rsidRPr="00764F85" w:rsidRDefault="004722B0" w:rsidP="00764F85">
      <w:pPr>
        <w:pStyle w:val="BodyText"/>
        <w:keepNext/>
        <w:spacing w:after="120" w:line="480" w:lineRule="auto"/>
        <w:ind w:left="1440" w:right="922" w:firstLine="720"/>
        <w:rPr>
          <w:rFonts w:ascii="Arial" w:hAnsi="Arial" w:cs="Arial"/>
          <w:szCs w:val="22"/>
        </w:rPr>
      </w:pPr>
      <w:r w:rsidRPr="00764F85">
        <w:rPr>
          <w:rFonts w:ascii="Arial" w:eastAsia="TimesNewRomanPSMT" w:hAnsi="Arial" w:cs="Arial"/>
          <w:szCs w:val="22"/>
        </w:rPr>
        <w:t>(ii) ordered by the court.</w:t>
      </w:r>
    </w:p>
    <w:p w14:paraId="721DB8A9" w14:textId="77777777" w:rsidR="004722B0" w:rsidRPr="00764F85" w:rsidRDefault="004722B0" w:rsidP="00764F85">
      <w:pPr>
        <w:keepNext/>
        <w:spacing w:line="480" w:lineRule="auto"/>
        <w:outlineLvl w:val="0"/>
      </w:pPr>
      <w:r w:rsidRPr="00764F85">
        <w:t>The Court is to exercise its powers to achieve the “Overarching Purpose”.</w:t>
      </w:r>
      <w:r w:rsidRPr="00764F85">
        <w:rPr>
          <w:rStyle w:val="FootnoteReference"/>
        </w:rPr>
        <w:footnoteReference w:id="52"/>
      </w:r>
    </w:p>
    <w:p w14:paraId="794225D3" w14:textId="77777777" w:rsidR="004722B0" w:rsidRPr="00764F85" w:rsidRDefault="004722B0" w:rsidP="00764F85">
      <w:pPr>
        <w:keepNext/>
        <w:autoSpaceDE w:val="0"/>
        <w:autoSpaceDN w:val="0"/>
        <w:adjustRightInd w:val="0"/>
        <w:spacing w:after="120" w:line="480" w:lineRule="auto"/>
        <w:ind w:right="922"/>
        <w:rPr>
          <w:rFonts w:eastAsia="TimesNewRomanPSMT"/>
        </w:rPr>
      </w:pPr>
      <w:r w:rsidRPr="00764F85">
        <w:rPr>
          <w:rFonts w:eastAsia="TimesNewRomanPSMT"/>
        </w:rPr>
        <w:t>The Court’s powers to further the overarching purpose are set out in clause 9:</w:t>
      </w:r>
    </w:p>
    <w:p w14:paraId="79B2085C" w14:textId="77777777" w:rsidR="004722B0" w:rsidRPr="00764F85" w:rsidRDefault="004722B0" w:rsidP="00764F85">
      <w:pPr>
        <w:keepNext/>
        <w:autoSpaceDE w:val="0"/>
        <w:autoSpaceDN w:val="0"/>
        <w:adjustRightInd w:val="0"/>
        <w:spacing w:after="120" w:line="480" w:lineRule="auto"/>
        <w:ind w:left="1440" w:right="922" w:hanging="720"/>
        <w:rPr>
          <w:rFonts w:eastAsia="TimesNewRomanPSMT"/>
        </w:rPr>
      </w:pPr>
      <w:r w:rsidRPr="00764F85">
        <w:rPr>
          <w:rFonts w:eastAsia="TimesNewRomanPSMT"/>
        </w:rPr>
        <w:t xml:space="preserve"> (1) </w:t>
      </w:r>
      <w:r w:rsidRPr="00764F85">
        <w:rPr>
          <w:rFonts w:eastAsia="TimesNewRomanPSMT"/>
        </w:rPr>
        <w:tab/>
        <w:t>In making any order or giving any direction in a civil proceeding, a court shall further the overarching purpose by having regard to the following objects—</w:t>
      </w:r>
    </w:p>
    <w:p w14:paraId="3DF7A33D"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(a) the just determination of the civil proceeding;</w:t>
      </w:r>
    </w:p>
    <w:p w14:paraId="603E31B3"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(b) the public interest in the early settlement of disputes by agreement between parties;</w:t>
      </w:r>
    </w:p>
    <w:p w14:paraId="4D05985D"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(c) the efficient conduct of the business of the court;</w:t>
      </w:r>
    </w:p>
    <w:p w14:paraId="6AB2F6AF"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(d) the efficient use of judicial and administrative resources;</w:t>
      </w:r>
    </w:p>
    <w:p w14:paraId="6EAE7BAD"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(e) minimising any delay between the commencement of a civil proceeding and its listing for trial beyond that reasonably required for any interlocutory steps that are necessary for—</w:t>
      </w:r>
    </w:p>
    <w:p w14:paraId="36CB8F77" w14:textId="77777777" w:rsidR="004722B0" w:rsidRPr="00764F85" w:rsidRDefault="004722B0" w:rsidP="00764F85">
      <w:pPr>
        <w:keepNext/>
        <w:autoSpaceDE w:val="0"/>
        <w:autoSpaceDN w:val="0"/>
        <w:adjustRightInd w:val="0"/>
        <w:spacing w:after="120" w:line="480" w:lineRule="auto"/>
        <w:ind w:left="2160" w:right="922"/>
        <w:rPr>
          <w:rFonts w:eastAsia="TimesNewRomanPSMT"/>
        </w:rPr>
      </w:pPr>
      <w:r w:rsidRPr="00764F85">
        <w:rPr>
          <w:rFonts w:eastAsia="TimesNewRomanPSMT"/>
        </w:rPr>
        <w:lastRenderedPageBreak/>
        <w:t>(i) the fair and just determination of the real issues in dispute; and</w:t>
      </w:r>
    </w:p>
    <w:p w14:paraId="3A4B8632" w14:textId="77777777" w:rsidR="004722B0" w:rsidRPr="00764F85" w:rsidRDefault="004722B0" w:rsidP="00764F85">
      <w:pPr>
        <w:keepNext/>
        <w:autoSpaceDE w:val="0"/>
        <w:autoSpaceDN w:val="0"/>
        <w:adjustRightInd w:val="0"/>
        <w:spacing w:after="120" w:line="480" w:lineRule="auto"/>
        <w:ind w:left="1440" w:right="922" w:firstLine="720"/>
        <w:rPr>
          <w:rFonts w:eastAsia="TimesNewRomanPSMT"/>
        </w:rPr>
      </w:pPr>
      <w:r w:rsidRPr="00764F85">
        <w:rPr>
          <w:rFonts w:eastAsia="TimesNewRomanPSMT"/>
        </w:rPr>
        <w:t>(ii) the preparation of the case for trial;</w:t>
      </w:r>
    </w:p>
    <w:p w14:paraId="7E680E51"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(f) the timely determination of the civil proceeding;</w:t>
      </w:r>
    </w:p>
    <w:p w14:paraId="78FA37AD" w14:textId="77777777" w:rsidR="004722B0" w:rsidRPr="00764F85" w:rsidRDefault="004722B0" w:rsidP="00764F85">
      <w:pPr>
        <w:keepNext/>
        <w:autoSpaceDE w:val="0"/>
        <w:autoSpaceDN w:val="0"/>
        <w:adjustRightInd w:val="0"/>
        <w:spacing w:after="120" w:line="480" w:lineRule="auto"/>
        <w:ind w:left="1440" w:right="922"/>
        <w:rPr>
          <w:rFonts w:eastAsia="TimesNewRomanPSMT"/>
        </w:rPr>
      </w:pPr>
      <w:r w:rsidRPr="00764F85">
        <w:rPr>
          <w:rFonts w:eastAsia="TimesNewRomanPSMT"/>
        </w:rPr>
        <w:t>(g) dealing with a civil proceeding in a manner proportionate to—</w:t>
      </w:r>
    </w:p>
    <w:p w14:paraId="3236EA99" w14:textId="77777777" w:rsidR="004722B0" w:rsidRPr="00764F85" w:rsidRDefault="004722B0" w:rsidP="00764F85">
      <w:pPr>
        <w:keepNext/>
        <w:autoSpaceDE w:val="0"/>
        <w:autoSpaceDN w:val="0"/>
        <w:adjustRightInd w:val="0"/>
        <w:spacing w:after="120" w:line="480" w:lineRule="auto"/>
        <w:ind w:left="2160" w:right="922"/>
        <w:rPr>
          <w:rFonts w:eastAsia="TimesNewRomanPSMT"/>
        </w:rPr>
      </w:pPr>
      <w:r w:rsidRPr="00764F85">
        <w:rPr>
          <w:rFonts w:eastAsia="TimesNewRomanPSMT"/>
        </w:rPr>
        <w:t>(i) the complexity or importance of the issues in dispute; and</w:t>
      </w:r>
    </w:p>
    <w:p w14:paraId="7FD2C812" w14:textId="77777777" w:rsidR="004722B0" w:rsidRPr="00764F85" w:rsidRDefault="004722B0" w:rsidP="00764F85">
      <w:pPr>
        <w:keepNext/>
        <w:autoSpaceDE w:val="0"/>
        <w:autoSpaceDN w:val="0"/>
        <w:adjustRightInd w:val="0"/>
        <w:spacing w:after="120" w:line="480" w:lineRule="auto"/>
        <w:ind w:left="1440" w:right="922" w:firstLine="720"/>
        <w:rPr>
          <w:rFonts w:eastAsia="TimesNewRomanPSMT"/>
        </w:rPr>
      </w:pPr>
      <w:r w:rsidRPr="00764F85">
        <w:rPr>
          <w:rFonts w:eastAsia="TimesNewRomanPSMT"/>
        </w:rPr>
        <w:t>(ii) the amount in dispute.</w:t>
      </w:r>
    </w:p>
    <w:p w14:paraId="5452483C" w14:textId="77777777" w:rsidR="004722B0" w:rsidRPr="00764F85" w:rsidRDefault="004722B0" w:rsidP="00764F85">
      <w:pPr>
        <w:keepNext/>
        <w:spacing w:line="480" w:lineRule="auto"/>
        <w:outlineLvl w:val="0"/>
        <w:rPr>
          <w:i/>
        </w:rPr>
      </w:pPr>
    </w:p>
    <w:p w14:paraId="73A9FCA3" w14:textId="77777777" w:rsidR="004722B0" w:rsidRPr="00764F85" w:rsidRDefault="004722B0" w:rsidP="00764F85">
      <w:pPr>
        <w:keepNext/>
        <w:spacing w:line="480" w:lineRule="auto"/>
        <w:outlineLvl w:val="0"/>
        <w:rPr>
          <w:i/>
        </w:rPr>
      </w:pPr>
      <w:r w:rsidRPr="00764F85">
        <w:rPr>
          <w:i/>
        </w:rPr>
        <w:t>Obligations applying to parties, lawyers, and litigation funders</w:t>
      </w:r>
    </w:p>
    <w:p w14:paraId="5B4DE70F" w14:textId="77777777" w:rsidR="004722B0" w:rsidRPr="00764F85" w:rsidRDefault="004722B0" w:rsidP="00764F85">
      <w:pPr>
        <w:keepNext/>
        <w:spacing w:line="480" w:lineRule="auto"/>
      </w:pPr>
      <w:r w:rsidRPr="00764F85">
        <w:t>Notably, when the Bill is enacted, ‘Victoria will be the first Australian jurisdiction to implement statutory conduct obligations that apply not only to lawyers, but to all participants who have the power to influence the course of civil litigation’.</w:t>
      </w:r>
      <w:r w:rsidRPr="00764F85">
        <w:rPr>
          <w:rStyle w:val="FootnoteReference"/>
        </w:rPr>
        <w:footnoteReference w:id="53"/>
      </w:r>
      <w:r w:rsidRPr="00764F85">
        <w:rPr>
          <w:rStyle w:val="FootnoteReference"/>
        </w:rPr>
        <w:t xml:space="preserve"> </w:t>
      </w:r>
    </w:p>
    <w:p w14:paraId="56A60F60" w14:textId="77777777" w:rsidR="004722B0" w:rsidRPr="00764F85" w:rsidRDefault="004722B0" w:rsidP="00764F85">
      <w:pPr>
        <w:keepNext/>
        <w:spacing w:line="480" w:lineRule="auto"/>
      </w:pPr>
      <w:r w:rsidRPr="00764F85">
        <w:t xml:space="preserve">Clause 34 of the Bill prescribes a broad general obligation upon ‘persons involved in a civil dispute’ to ‘take reasonable steps … to resolve the dispute by agreement or clarify and narrow the issues in dispute’.  </w:t>
      </w:r>
    </w:p>
    <w:p w14:paraId="3BA8C96A" w14:textId="77777777" w:rsidR="004722B0" w:rsidRPr="00764F85" w:rsidRDefault="004722B0" w:rsidP="00764F85">
      <w:pPr>
        <w:keepNext/>
        <w:spacing w:line="480" w:lineRule="auto"/>
      </w:pPr>
      <w:r w:rsidRPr="00764F85">
        <w:t>Significantly, ‘the Bill contains an exemption for Corporations Law matters in recognition of the prescriptive nature of many such proceedings’.</w:t>
      </w:r>
      <w:r w:rsidRPr="00764F85">
        <w:rPr>
          <w:rStyle w:val="FootnoteReference"/>
        </w:rPr>
        <w:footnoteReference w:id="54"/>
      </w:r>
      <w:r w:rsidRPr="00764F85">
        <w:rPr>
          <w:rStyle w:val="FootnoteReference"/>
        </w:rPr>
        <w:t xml:space="preserve"> </w:t>
      </w:r>
      <w:r w:rsidRPr="00764F85">
        <w:t xml:space="preserve"> Furthermore, the Bill provides the courts with a general power to exempt classes of civil proceedings from compliance with the pre-litigation requirements. In addition the Bill provides the courts with a rule making power to design specific pre-litigation processes for certain types of cases</w:t>
      </w:r>
    </w:p>
    <w:p w14:paraId="5543C4CB" w14:textId="77777777" w:rsidR="004722B0" w:rsidRPr="00764F85" w:rsidRDefault="004722B0" w:rsidP="00764F85">
      <w:pPr>
        <w:keepNext/>
        <w:spacing w:line="480" w:lineRule="auto"/>
        <w:rPr>
          <w:i/>
        </w:rPr>
      </w:pPr>
      <w:r w:rsidRPr="00764F85">
        <w:rPr>
          <w:i/>
        </w:rPr>
        <w:t>Obligations on parties and lawyers to certify adherence to pre-litigation requirements and overarching obligations</w:t>
      </w:r>
    </w:p>
    <w:p w14:paraId="23E17F0F" w14:textId="77777777" w:rsidR="004722B0" w:rsidRPr="00764F85" w:rsidRDefault="004722B0" w:rsidP="00764F85">
      <w:pPr>
        <w:keepNext/>
        <w:spacing w:line="480" w:lineRule="auto"/>
      </w:pPr>
      <w:r w:rsidRPr="00764F85">
        <w:t>Part 4.1 of the Bill includes a series of clauses that require certifications that (i) parties have complied with the pre-litigation requirements (or if these have not been complied with, a statement setting out the reasons for such non-compliance is required), (ii) that parties they have read and understood the overarching obligations (to be provided by parties in their pleadings), and (iii) allegations made have a proper basis (to be certified by lawyers in their supporting affidavits).</w:t>
      </w:r>
    </w:p>
    <w:p w14:paraId="1CD417BA" w14:textId="77777777" w:rsidR="004722B0" w:rsidRPr="00764F85" w:rsidRDefault="004722B0" w:rsidP="00764F85">
      <w:pPr>
        <w:keepNext/>
        <w:spacing w:line="480" w:lineRule="auto"/>
      </w:pPr>
      <w:r w:rsidRPr="00764F85">
        <w:t xml:space="preserve">Once the </w:t>
      </w:r>
      <w:r w:rsidRPr="00764F85">
        <w:rPr>
          <w:i/>
        </w:rPr>
        <w:t xml:space="preserve">Civil Procedure Bill 2010 </w:t>
      </w:r>
      <w:r w:rsidRPr="00764F85">
        <w:t xml:space="preserve">is enacted, </w:t>
      </w:r>
      <w:r w:rsidRPr="00764F85">
        <w:rPr>
          <w:i/>
        </w:rPr>
        <w:t>Aon</w:t>
      </w:r>
      <w:r w:rsidRPr="00764F85">
        <w:t xml:space="preserve"> will have little practical application as most of the principles found in the case will be embodied in legislation. This has been the experience in New South Wales where the </w:t>
      </w:r>
      <w:r w:rsidRPr="00764F85">
        <w:rPr>
          <w:i/>
        </w:rPr>
        <w:t>Civil Procedure Act 2005</w:t>
      </w:r>
      <w:r w:rsidRPr="00764F85">
        <w:t xml:space="preserve"> has been in place for some years.</w:t>
      </w:r>
      <w:r w:rsidRPr="00764F85">
        <w:rPr>
          <w:rStyle w:val="FootnoteReference"/>
        </w:rPr>
        <w:footnoteReference w:id="55"/>
      </w:r>
    </w:p>
    <w:p w14:paraId="0F9EF3AB" w14:textId="77777777" w:rsidR="004722B0" w:rsidRPr="00764F85" w:rsidRDefault="004722B0" w:rsidP="00764F85">
      <w:pPr>
        <w:keepNext/>
        <w:spacing w:line="480" w:lineRule="auto"/>
      </w:pPr>
    </w:p>
    <w:p w14:paraId="5FF6AA55" w14:textId="77777777" w:rsidR="004722B0" w:rsidRPr="00764F85" w:rsidRDefault="004722B0" w:rsidP="00764F85">
      <w:pPr>
        <w:keepNext/>
        <w:spacing w:line="480" w:lineRule="auto"/>
        <w:outlineLvl w:val="0"/>
        <w:rPr>
          <w:b/>
        </w:rPr>
      </w:pPr>
      <w:r w:rsidRPr="00764F85">
        <w:rPr>
          <w:b/>
        </w:rPr>
        <w:t>Conclusion</w:t>
      </w:r>
    </w:p>
    <w:p w14:paraId="14F15619" w14:textId="77777777" w:rsidR="004722B0" w:rsidRPr="00764F85" w:rsidRDefault="004722B0" w:rsidP="00764F85">
      <w:pPr>
        <w:keepNext/>
        <w:spacing w:line="480" w:lineRule="auto"/>
      </w:pPr>
      <w:r w:rsidRPr="00764F85">
        <w:t xml:space="preserve">There is no doubt that </w:t>
      </w:r>
      <w:r w:rsidRPr="00764F85">
        <w:rPr>
          <w:i/>
        </w:rPr>
        <w:t xml:space="preserve">Aon </w:t>
      </w:r>
      <w:r w:rsidRPr="00764F85">
        <w:t xml:space="preserve">was a step in the right direction. However, the case only raises broad principles and leaves their practical application to the courts on a case by case basis. </w:t>
      </w:r>
      <w:r w:rsidRPr="00764F85">
        <w:rPr>
          <w:i/>
        </w:rPr>
        <w:t>Aon</w:t>
      </w:r>
      <w:r w:rsidRPr="00764F85">
        <w:t xml:space="preserve"> does not, on its own facts, provide a useful example for the conduct of the Commercial Court. The type of application made would be likely to receive little sympathy in a managed court list, such as those provided in the Commercial Court. </w:t>
      </w:r>
    </w:p>
    <w:p w14:paraId="0980C10C" w14:textId="77777777" w:rsidR="004722B0" w:rsidRPr="00764F85" w:rsidRDefault="004722B0" w:rsidP="00764F85">
      <w:pPr>
        <w:keepNext/>
        <w:spacing w:line="480" w:lineRule="auto"/>
      </w:pPr>
      <w:r w:rsidRPr="00764F85">
        <w:t xml:space="preserve">The importance of </w:t>
      </w:r>
      <w:r w:rsidRPr="00764F85">
        <w:rPr>
          <w:i/>
        </w:rPr>
        <w:t>Aon</w:t>
      </w:r>
      <w:r w:rsidRPr="00764F85">
        <w:t xml:space="preserve"> is in relation to the case management issues that arise every day. Pleadings arguments, particulars disputes and discovery applications are frequent. Applications to extend deadlines are common. It is my view, that no matter how involved a judge becomes in the management of litigation to define the issues, until practitioners and parties do not have incentives (whether they be financial or tactical) to spend time in interlocutory proceedings the problems of </w:t>
      </w:r>
      <w:r w:rsidRPr="00764F85">
        <w:lastRenderedPageBreak/>
        <w:t>delay and expense will not finally be addressed. Professor Zuckerman argues that while litigants have an incentive to use procedural tactics to their own advantage and while lawyers have a financial interest in conducting complicated litigation there will be a tension with the courts in seeking to manage litigation efficiently.</w:t>
      </w:r>
      <w:r w:rsidRPr="00764F85">
        <w:rPr>
          <w:rStyle w:val="FootnoteReference"/>
        </w:rPr>
        <w:footnoteReference w:id="56"/>
      </w:r>
      <w:r w:rsidRPr="00764F85">
        <w:t xml:space="preserve"> Thus Professor Zuckerman commented:</w:t>
      </w:r>
      <w:r w:rsidRPr="00764F85">
        <w:rPr>
          <w:rStyle w:val="FootnoteReference"/>
        </w:rPr>
        <w:footnoteReference w:id="57"/>
      </w:r>
    </w:p>
    <w:p w14:paraId="2B7A932C" w14:textId="77777777" w:rsidR="004722B0" w:rsidRPr="00764F85" w:rsidRDefault="004722B0" w:rsidP="00764F85">
      <w:pPr>
        <w:pStyle w:val="BodyText"/>
        <w:keepNext/>
        <w:spacing w:line="480" w:lineRule="auto"/>
        <w:rPr>
          <w:rFonts w:ascii="Arial" w:hAnsi="Arial" w:cs="Arial"/>
          <w:szCs w:val="22"/>
        </w:rPr>
      </w:pPr>
      <w:r w:rsidRPr="00764F85">
        <w:rPr>
          <w:rFonts w:ascii="Arial" w:hAnsi="Arial" w:cs="Arial"/>
          <w:szCs w:val="22"/>
        </w:rPr>
        <w:t>A system in which the courts continually have to pitch themselves against the professional instincts of lawyers is bound to be inefficient. It can hardly be denied that the judicial task of controlling litigation is bound to be easier when its objective is shared by practitioners, and much harder when the court’s aim runs counter to that of practitioners</w:t>
      </w:r>
    </w:p>
    <w:p w14:paraId="186CC01A" w14:textId="77777777" w:rsidR="003E023A" w:rsidRPr="00764F85" w:rsidRDefault="004722B0" w:rsidP="00764F85">
      <w:pPr>
        <w:keepNext/>
        <w:spacing w:line="480" w:lineRule="auto"/>
      </w:pPr>
      <w:r w:rsidRPr="00764F85">
        <w:t>So long as hourly billing is the main form of remuneration for lawyers, the courts can only be partially successful in managing litigation – lawyers and courts will often be at cross purposes.</w:t>
      </w:r>
      <w:r w:rsidRPr="00764F85">
        <w:rPr>
          <w:rStyle w:val="FootnoteReference"/>
        </w:rPr>
        <w:footnoteReference w:id="58"/>
      </w:r>
      <w:r w:rsidRPr="00764F85">
        <w:t xml:space="preserve">  Although effective case management produces more effective litigation, further efficiencies may flow from a review of the present costs regime and also the basis for the remuneration of practitioners.</w:t>
      </w:r>
      <w:r w:rsidRPr="00764F85">
        <w:rPr>
          <w:rStyle w:val="FootnoteReference"/>
        </w:rPr>
        <w:footnoteReference w:id="59"/>
      </w:r>
      <w:r w:rsidRPr="00764F85">
        <w:t xml:space="preserve"> These are issues for further careful consideration. </w:t>
      </w:r>
    </w:p>
    <w:sectPr w:rsidR="003E023A" w:rsidRPr="00764F85" w:rsidSect="00466449">
      <w:headerReference w:type="default" r:id="rId12"/>
      <w:footerReference w:type="even" r:id="rId13"/>
      <w:footerReference w:type="default" r:id="rId14"/>
      <w:pgSz w:w="11909" w:h="16834"/>
      <w:pgMar w:top="864" w:right="1138" w:bottom="1152" w:left="1008" w:header="2041"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1285" w14:textId="77777777" w:rsidR="006D4728" w:rsidRDefault="006D4728" w:rsidP="003E023A">
      <w:r>
        <w:separator/>
      </w:r>
    </w:p>
    <w:p w14:paraId="2E354FD6" w14:textId="77777777" w:rsidR="006D4728" w:rsidRDefault="006D4728" w:rsidP="003E023A"/>
  </w:endnote>
  <w:endnote w:type="continuationSeparator" w:id="0">
    <w:p w14:paraId="34AAC3AC" w14:textId="77777777" w:rsidR="006D4728" w:rsidRDefault="006D4728" w:rsidP="003E023A">
      <w:r>
        <w:continuationSeparator/>
      </w:r>
    </w:p>
    <w:p w14:paraId="16216019" w14:textId="77777777" w:rsidR="006D4728" w:rsidRDefault="006D4728" w:rsidP="003E0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5BD8" w14:textId="77777777" w:rsidR="00AA328E" w:rsidRDefault="00AA328E" w:rsidP="003E023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096F79" w14:textId="77777777" w:rsidR="00AA328E" w:rsidRDefault="00AA328E" w:rsidP="003E023A">
    <w:pPr>
      <w:pStyle w:val="Footer"/>
    </w:pPr>
  </w:p>
  <w:p w14:paraId="0E062E21" w14:textId="77777777" w:rsidR="00AA328E" w:rsidRDefault="00AA328E" w:rsidP="003E02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AEB7" w14:textId="77777777" w:rsidR="008B47A0" w:rsidRDefault="008B47A0" w:rsidP="00D31BAD">
    <w:pPr>
      <w:pStyle w:val="Footer"/>
      <w:jc w:val="right"/>
    </w:pPr>
    <w:r>
      <w:fldChar w:fldCharType="begin"/>
    </w:r>
    <w:r>
      <w:instrText xml:space="preserve"> PAGE   \* MERGEFORMAT </w:instrText>
    </w:r>
    <w:r>
      <w:fldChar w:fldCharType="separate"/>
    </w:r>
    <w:r w:rsidR="00955D7B">
      <w:rPr>
        <w:noProof/>
      </w:rPr>
      <w:t>20</w:t>
    </w:r>
    <w:r>
      <w:rPr>
        <w:noProof/>
      </w:rPr>
      <w:fldChar w:fldCharType="end"/>
    </w:r>
  </w:p>
  <w:p w14:paraId="6E078D2D" w14:textId="77777777" w:rsidR="00AA328E" w:rsidRDefault="00AA328E" w:rsidP="003E023A">
    <w:pPr>
      <w:pStyle w:val="Footer"/>
    </w:pPr>
  </w:p>
  <w:p w14:paraId="32BFEA5D" w14:textId="77777777" w:rsidR="00AA328E" w:rsidRDefault="00AA328E" w:rsidP="003E0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C829" w14:textId="77777777" w:rsidR="006D4728" w:rsidRDefault="006D4728" w:rsidP="003E023A">
      <w:r>
        <w:separator/>
      </w:r>
    </w:p>
    <w:p w14:paraId="55DDA65C" w14:textId="77777777" w:rsidR="006D4728" w:rsidRDefault="006D4728" w:rsidP="003E023A"/>
  </w:footnote>
  <w:footnote w:type="continuationSeparator" w:id="0">
    <w:p w14:paraId="4FD93107" w14:textId="77777777" w:rsidR="006D4728" w:rsidRDefault="006D4728" w:rsidP="003E023A">
      <w:r>
        <w:continuationSeparator/>
      </w:r>
    </w:p>
    <w:p w14:paraId="5A3ACC42" w14:textId="77777777" w:rsidR="006D4728" w:rsidRDefault="006D4728" w:rsidP="003E023A"/>
  </w:footnote>
  <w:footnote w:id="1">
    <w:p w14:paraId="22088661" w14:textId="77777777" w:rsidR="004722B0" w:rsidRPr="00F155CF" w:rsidRDefault="004722B0" w:rsidP="00764F85">
      <w:pPr>
        <w:pStyle w:val="FootnoteText"/>
        <w:ind w:left="0" w:firstLine="0"/>
        <w:rPr>
          <w:lang w:val="en-US"/>
        </w:rPr>
      </w:pPr>
      <w:r>
        <w:rPr>
          <w:rStyle w:val="FootnoteReference"/>
        </w:rPr>
        <w:footnoteRef/>
      </w:r>
      <w:r>
        <w:t xml:space="preserve"> </w:t>
      </w:r>
      <w:r>
        <w:rPr>
          <w:lang w:val="en-US"/>
        </w:rPr>
        <w:t xml:space="preserve">Justice Croft is the judge of the </w:t>
      </w:r>
      <w:smartTag w:uri="urn:schemas-microsoft-com:office:smarttags" w:element="Street">
        <w:smartTag w:uri="urn:schemas-microsoft-com:office:smarttags" w:element="address">
          <w:r>
            <w:rPr>
              <w:lang w:val="en-US"/>
            </w:rPr>
            <w:t>Commercial Court</w:t>
          </w:r>
        </w:smartTag>
      </w:smartTag>
      <w:r>
        <w:rPr>
          <w:lang w:val="en-US"/>
        </w:rPr>
        <w:t xml:space="preserve"> in charge of List C (General Commercial) and List G (Arbitration). The assistance of Mr David Markham, Associate to Justice Croft, and Stephen Goldsmith, </w:t>
      </w:r>
      <w:r w:rsidRPr="002E0932">
        <w:rPr>
          <w:lang w:val="en-US"/>
        </w:rPr>
        <w:t>Legal and Policy Officer, Commercial and Equity Divisio</w:t>
      </w:r>
      <w:r>
        <w:rPr>
          <w:lang w:val="en-US"/>
        </w:rPr>
        <w:t xml:space="preserve">n, Supreme Court is gratefully acknowledged. </w:t>
      </w:r>
    </w:p>
  </w:footnote>
  <w:footnote w:id="2">
    <w:p w14:paraId="3C17ECBD" w14:textId="77777777" w:rsidR="004722B0" w:rsidRPr="00681E25" w:rsidRDefault="004722B0" w:rsidP="008359CC">
      <w:pPr>
        <w:pStyle w:val="FootnoteText"/>
        <w:ind w:left="0" w:firstLine="0"/>
        <w:rPr>
          <w:i/>
        </w:rPr>
      </w:pPr>
      <w:r>
        <w:rPr>
          <w:rStyle w:val="FootnoteReference"/>
        </w:rPr>
        <w:footnoteRef/>
      </w:r>
      <w:r>
        <w:t xml:space="preserve"> See </w:t>
      </w:r>
      <w:r>
        <w:rPr>
          <w:i/>
        </w:rPr>
        <w:t xml:space="preserve">Aon Risk Services v </w:t>
      </w:r>
      <w:smartTag w:uri="urn:schemas-microsoft-com:office:smarttags" w:element="place">
        <w:smartTag w:uri="urn:schemas-microsoft-com:office:smarttags" w:element="PlaceName">
          <w:r>
            <w:rPr>
              <w:i/>
            </w:rPr>
            <w:t>Australian</w:t>
          </w:r>
        </w:smartTag>
        <w:r>
          <w:rPr>
            <w:i/>
          </w:rPr>
          <w:t xml:space="preserve"> </w:t>
        </w:r>
        <w:smartTag w:uri="urn:schemas-microsoft-com:office:smarttags" w:element="PlaceName">
          <w:r>
            <w:rPr>
              <w:i/>
            </w:rPr>
            <w:t>National</w:t>
          </w:r>
        </w:smartTag>
        <w:r>
          <w:rPr>
            <w:i/>
          </w:rPr>
          <w:t xml:space="preserve"> </w:t>
        </w:r>
        <w:smartTag w:uri="urn:schemas-microsoft-com:office:smarttags" w:element="PlaceType">
          <w:r>
            <w:rPr>
              <w:i/>
            </w:rPr>
            <w:t>University</w:t>
          </w:r>
        </w:smartTag>
      </w:smartTag>
      <w:r>
        <w:t xml:space="preserve"> (2009) 239 CLR 175 at 38-40.</w:t>
      </w:r>
    </w:p>
  </w:footnote>
  <w:footnote w:id="3">
    <w:p w14:paraId="7CE1DCA8" w14:textId="77777777" w:rsidR="004722B0" w:rsidRDefault="004722B0" w:rsidP="008359CC">
      <w:pPr>
        <w:pStyle w:val="FootnoteText"/>
        <w:ind w:left="0" w:firstLine="0"/>
      </w:pPr>
      <w:r>
        <w:rPr>
          <w:rStyle w:val="FootnoteReference"/>
        </w:rPr>
        <w:footnoteRef/>
      </w:r>
      <w:r>
        <w:t xml:space="preserve"> </w:t>
      </w:r>
      <w:r>
        <w:rPr>
          <w:i/>
        </w:rPr>
        <w:t xml:space="preserve">Queensland v JL Holdings Pty Ltd </w:t>
      </w:r>
      <w:r>
        <w:t>(1997) 189 CLR 146.</w:t>
      </w:r>
    </w:p>
  </w:footnote>
  <w:footnote w:id="4">
    <w:p w14:paraId="7FDB1C9A" w14:textId="77777777" w:rsidR="004722B0" w:rsidRPr="00445637" w:rsidRDefault="004722B0" w:rsidP="008359CC">
      <w:pPr>
        <w:pStyle w:val="FootnoteText"/>
        <w:ind w:left="0" w:firstLine="0"/>
      </w:pPr>
      <w:r>
        <w:rPr>
          <w:rStyle w:val="FootnoteReference"/>
        </w:rPr>
        <w:footnoteRef/>
      </w:r>
      <w:r>
        <w:t xml:space="preserve"> </w:t>
      </w:r>
      <w:r>
        <w:rPr>
          <w:i/>
        </w:rPr>
        <w:t xml:space="preserve">Aon Risk Services v </w:t>
      </w:r>
      <w:smartTag w:uri="urn:schemas-microsoft-com:office:smarttags" w:element="place">
        <w:smartTag w:uri="urn:schemas-microsoft-com:office:smarttags" w:element="PlaceName">
          <w:r>
            <w:rPr>
              <w:i/>
            </w:rPr>
            <w:t>Australian</w:t>
          </w:r>
        </w:smartTag>
        <w:r>
          <w:rPr>
            <w:i/>
          </w:rPr>
          <w:t xml:space="preserve"> </w:t>
        </w:r>
        <w:smartTag w:uri="urn:schemas-microsoft-com:office:smarttags" w:element="PlaceName">
          <w:r>
            <w:rPr>
              <w:i/>
            </w:rPr>
            <w:t>National</w:t>
          </w:r>
        </w:smartTag>
        <w:r>
          <w:rPr>
            <w:i/>
          </w:rPr>
          <w:t xml:space="preserve"> </w:t>
        </w:r>
        <w:smartTag w:uri="urn:schemas-microsoft-com:office:smarttags" w:element="PlaceType">
          <w:r>
            <w:rPr>
              <w:i/>
            </w:rPr>
            <w:t>University</w:t>
          </w:r>
        </w:smartTag>
      </w:smartTag>
      <w:r>
        <w:t xml:space="preserve"> (2009) 239 CLR 175 at 229. </w:t>
      </w:r>
    </w:p>
  </w:footnote>
  <w:footnote w:id="5">
    <w:p w14:paraId="13E53EA7" w14:textId="77777777" w:rsidR="004722B0" w:rsidRPr="003A1BB4" w:rsidRDefault="004722B0" w:rsidP="008359CC">
      <w:pPr>
        <w:pStyle w:val="FootnoteText"/>
        <w:ind w:left="0" w:firstLine="0"/>
        <w:rPr>
          <w:i/>
        </w:rPr>
      </w:pPr>
      <w:r>
        <w:rPr>
          <w:rStyle w:val="FootnoteReference"/>
        </w:rPr>
        <w:footnoteRef/>
      </w:r>
      <w:r>
        <w:t xml:space="preserve"> Supreme Court of </w:t>
      </w:r>
      <w:smartTag w:uri="urn:schemas-microsoft-com:office:smarttags" w:element="place">
        <w:smartTag w:uri="urn:schemas-microsoft-com:office:smarttags" w:element="State">
          <w:r>
            <w:t>Victoria</w:t>
          </w:r>
        </w:smartTag>
      </w:smartTag>
      <w:r>
        <w:t xml:space="preserve">,  </w:t>
      </w:r>
      <w:r>
        <w:rPr>
          <w:i/>
        </w:rPr>
        <w:t xml:space="preserve">Practice Note No 1 of 2010 (Version 1.0) – </w:t>
      </w:r>
      <w:smartTag w:uri="urn:schemas-microsoft-com:office:smarttags" w:element="Street">
        <w:smartTag w:uri="urn:schemas-microsoft-com:office:smarttags" w:element="address">
          <w:r>
            <w:rPr>
              <w:i/>
            </w:rPr>
            <w:t>Commercial Court</w:t>
          </w:r>
        </w:smartTag>
      </w:smartTag>
      <w:r>
        <w:rPr>
          <w:i/>
        </w:rPr>
        <w:t xml:space="preserve"> (“the Green Book”).</w:t>
      </w:r>
    </w:p>
  </w:footnote>
  <w:footnote w:id="6">
    <w:p w14:paraId="5CA14623" w14:textId="77777777" w:rsidR="004722B0" w:rsidRPr="003A1BB4" w:rsidRDefault="004722B0" w:rsidP="008359CC">
      <w:pPr>
        <w:pStyle w:val="FootnoteText"/>
        <w:ind w:left="0" w:firstLine="0"/>
      </w:pPr>
      <w:r>
        <w:rPr>
          <w:rStyle w:val="FootnoteReference"/>
        </w:rPr>
        <w:footnoteRef/>
      </w:r>
      <w:r>
        <w:t xml:space="preserve"> </w:t>
      </w:r>
      <w:r>
        <w:rPr>
          <w:i/>
        </w:rPr>
        <w:t xml:space="preserve">Green Book, </w:t>
      </w:r>
      <w:r>
        <w:t>pp. 3 and 4.</w:t>
      </w:r>
    </w:p>
  </w:footnote>
  <w:footnote w:id="7">
    <w:p w14:paraId="320C92C5" w14:textId="77777777" w:rsidR="004722B0" w:rsidRDefault="004722B0" w:rsidP="008359CC">
      <w:pPr>
        <w:pStyle w:val="FootnoteText"/>
        <w:ind w:left="0" w:firstLine="0"/>
      </w:pPr>
      <w:r>
        <w:rPr>
          <w:rStyle w:val="FootnoteReference"/>
        </w:rPr>
        <w:footnoteRef/>
      </w:r>
      <w:r>
        <w:t xml:space="preserve"> </w:t>
      </w:r>
      <w:r>
        <w:rPr>
          <w:i/>
        </w:rPr>
        <w:t xml:space="preserve">Aon </w:t>
      </w:r>
      <w:r>
        <w:t>(2009) 239 CLR 175 at 223 to 224 per Heydon J.</w:t>
      </w:r>
    </w:p>
  </w:footnote>
  <w:footnote w:id="8">
    <w:p w14:paraId="2767522E" w14:textId="77777777" w:rsidR="004722B0" w:rsidRDefault="004722B0" w:rsidP="008359CC">
      <w:pPr>
        <w:pStyle w:val="FootnoteText"/>
        <w:ind w:left="0" w:firstLine="90"/>
      </w:pPr>
      <w:r>
        <w:rPr>
          <w:rStyle w:val="FootnoteReference"/>
        </w:rPr>
        <w:footnoteRef/>
      </w:r>
      <w:r>
        <w:t xml:space="preserve"> The Hon. Justice Pagone, “The Role of the Modern </w:t>
      </w:r>
      <w:smartTag w:uri="urn:schemas-microsoft-com:office:smarttags" w:element="Street">
        <w:smartTag w:uri="urn:schemas-microsoft-com:office:smarttags" w:element="address">
          <w:r>
            <w:t>Commercial Court</w:t>
          </w:r>
        </w:smartTag>
      </w:smartTag>
      <w:r>
        <w:t>”, a paper presented to the Supreme Court Law Conference on 12 November 2009, 3.</w:t>
      </w:r>
    </w:p>
  </w:footnote>
  <w:footnote w:id="9">
    <w:p w14:paraId="41C8748B" w14:textId="77777777" w:rsidR="004722B0" w:rsidRDefault="004722B0" w:rsidP="008359CC">
      <w:pPr>
        <w:pStyle w:val="FootnoteText"/>
        <w:ind w:left="0" w:firstLine="90"/>
      </w:pPr>
      <w:r>
        <w:rPr>
          <w:rStyle w:val="FootnoteReference"/>
        </w:rPr>
        <w:footnoteRef/>
      </w:r>
      <w:r>
        <w:t xml:space="preserve"> J. M. Holden, </w:t>
      </w:r>
      <w:r>
        <w:rPr>
          <w:i/>
        </w:rPr>
        <w:t>The History of Negotiable Instruments in English Law</w:t>
      </w:r>
      <w:r>
        <w:t>, (University of London, The Athlone Press, 1955) 114:</w:t>
      </w:r>
    </w:p>
    <w:p w14:paraId="422BDD6D" w14:textId="77777777" w:rsidR="004722B0" w:rsidRPr="008359CC" w:rsidRDefault="004722B0" w:rsidP="008359CC">
      <w:pPr>
        <w:pStyle w:val="FootnoteText"/>
        <w:ind w:left="0" w:right="926" w:firstLine="90"/>
        <w:rPr>
          <w:sz w:val="18"/>
          <w:szCs w:val="18"/>
        </w:rPr>
      </w:pPr>
      <w:r>
        <w:rPr>
          <w:sz w:val="18"/>
          <w:szCs w:val="18"/>
        </w:rPr>
        <w:t xml:space="preserve">A particularly important institution which he ‘adapted and improved’ was the special jury. Prior to his term of office, the use of this type of jury was unsystematised. He established it as a regular institution and went so far to gain the confidence of the experienced business men who sat as special jurors as to invite them to dine with him. It was largely as a result of </w:t>
      </w:r>
      <w:smartTag w:uri="urn:schemas-microsoft-com:office:smarttags" w:element="place">
        <w:smartTag w:uri="urn:schemas-microsoft-com:office:smarttags" w:element="City">
          <w:r>
            <w:rPr>
              <w:sz w:val="18"/>
              <w:szCs w:val="18"/>
            </w:rPr>
            <w:t>Mansfield</w:t>
          </w:r>
        </w:smartTag>
      </w:smartTag>
      <w:r>
        <w:rPr>
          <w:sz w:val="18"/>
          <w:szCs w:val="18"/>
        </w:rPr>
        <w:t>’s special jury system that it was found possible ‘to weld commercial usage into the main body of English law without the sacrifice of elasticity’. His practice was to incorporate customs into his judgments, and so establish them as binding rules for the future. If the practice on a particular subject was uncertain, then he would normally rely on the opinion of his special jurors. But once a point had been settled, it was, in his view, the judge’s duty to adhere to it. [footnotes omitted]</w:t>
      </w:r>
    </w:p>
  </w:footnote>
  <w:footnote w:id="10">
    <w:p w14:paraId="27DA6BC7" w14:textId="77777777" w:rsidR="004722B0" w:rsidRDefault="004722B0" w:rsidP="008359CC">
      <w:pPr>
        <w:pStyle w:val="FootnoteText"/>
        <w:ind w:left="0" w:firstLine="0"/>
      </w:pPr>
      <w:r>
        <w:rPr>
          <w:rStyle w:val="FootnoteReference"/>
        </w:rPr>
        <w:footnoteRef/>
      </w:r>
      <w:r>
        <w:t xml:space="preserve"> See, for example, </w:t>
      </w:r>
      <w:r>
        <w:rPr>
          <w:i/>
        </w:rPr>
        <w:t xml:space="preserve">Aon </w:t>
      </w:r>
      <w:r>
        <w:t>(2009) 239 CLR 175 at 200 per Gummow, Hayne, Crennan, Kiefel and Bell JJ.</w:t>
      </w:r>
    </w:p>
  </w:footnote>
  <w:footnote w:id="11">
    <w:p w14:paraId="01656838" w14:textId="77777777" w:rsidR="004722B0" w:rsidRDefault="004722B0" w:rsidP="008359CC">
      <w:pPr>
        <w:pStyle w:val="FootnoteText"/>
        <w:ind w:left="0" w:firstLine="0"/>
      </w:pPr>
      <w:r>
        <w:rPr>
          <w:rStyle w:val="FootnoteReference"/>
        </w:rPr>
        <w:footnoteRef/>
      </w:r>
      <w:r>
        <w:t xml:space="preserve"> </w:t>
      </w:r>
      <w:r>
        <w:rPr>
          <w:i/>
        </w:rPr>
        <w:t xml:space="preserve">Aon </w:t>
      </w:r>
      <w:r>
        <w:t>(2009) 239 CLR 175 at 182 per French CJ.</w:t>
      </w:r>
    </w:p>
  </w:footnote>
  <w:footnote w:id="12">
    <w:p w14:paraId="2A5BE54A" w14:textId="77777777" w:rsidR="004722B0" w:rsidRDefault="004722B0" w:rsidP="008359CC">
      <w:pPr>
        <w:pStyle w:val="FootnoteText"/>
        <w:ind w:left="0" w:firstLine="0"/>
      </w:pPr>
      <w:r>
        <w:rPr>
          <w:rStyle w:val="FootnoteReference"/>
        </w:rPr>
        <w:footnoteRef/>
      </w:r>
      <w:r>
        <w:t xml:space="preserve"> Ie the joint judgment of Gummow, Hayne, Crennan, Kiefel and Bell JJ.</w:t>
      </w:r>
    </w:p>
  </w:footnote>
  <w:footnote w:id="13">
    <w:p w14:paraId="22782386" w14:textId="77777777" w:rsidR="004722B0" w:rsidRDefault="004722B0" w:rsidP="008359CC">
      <w:pPr>
        <w:pStyle w:val="FootnoteText"/>
        <w:ind w:left="0" w:firstLine="0"/>
      </w:pPr>
      <w:r>
        <w:rPr>
          <w:rStyle w:val="FootnoteReference"/>
        </w:rPr>
        <w:footnoteRef/>
      </w:r>
      <w:r>
        <w:t xml:space="preserve"> </w:t>
      </w:r>
      <w:r>
        <w:rPr>
          <w:i/>
        </w:rPr>
        <w:t xml:space="preserve">Aon </w:t>
      </w:r>
      <w:r>
        <w:t>(2009) 239 CLR 175 at 217-218.</w:t>
      </w:r>
    </w:p>
  </w:footnote>
  <w:footnote w:id="14">
    <w:p w14:paraId="75F79046" w14:textId="77777777" w:rsidR="004722B0" w:rsidRPr="00D66E93" w:rsidRDefault="004722B0" w:rsidP="008359CC">
      <w:pPr>
        <w:pStyle w:val="FootnoteText"/>
        <w:ind w:left="0" w:firstLine="0"/>
      </w:pPr>
      <w:r>
        <w:rPr>
          <w:rStyle w:val="FootnoteReference"/>
        </w:rPr>
        <w:footnoteRef/>
      </w:r>
      <w:r>
        <w:t xml:space="preserve"> </w:t>
      </w:r>
      <w:r>
        <w:rPr>
          <w:i/>
        </w:rPr>
        <w:t xml:space="preserve">Queensland v JL Holdings Pty Ltd </w:t>
      </w:r>
      <w:r>
        <w:t>(1997) 189 CLR 146.</w:t>
      </w:r>
    </w:p>
  </w:footnote>
  <w:footnote w:id="15">
    <w:p w14:paraId="3566C5A7" w14:textId="77777777" w:rsidR="004722B0" w:rsidRPr="00445637" w:rsidRDefault="004722B0" w:rsidP="008359CC">
      <w:pPr>
        <w:pStyle w:val="FootnoteText"/>
        <w:ind w:left="0" w:firstLine="0"/>
      </w:pPr>
      <w:r>
        <w:rPr>
          <w:rStyle w:val="FootnoteReference"/>
        </w:rPr>
        <w:footnoteRef/>
      </w:r>
      <w:r>
        <w:t xml:space="preserve"> </w:t>
      </w:r>
      <w:r w:rsidRPr="00445637">
        <w:t xml:space="preserve">See </w:t>
      </w:r>
      <w:r w:rsidRPr="00D66E93">
        <w:rPr>
          <w:i/>
        </w:rPr>
        <w:t>John v Federal Commissioner of Taxation</w:t>
      </w:r>
      <w:r w:rsidRPr="00445637">
        <w:t xml:space="preserve"> (1989) 166 CLR 417; </w:t>
      </w:r>
      <w:r w:rsidRPr="00D66E93">
        <w:rPr>
          <w:i/>
        </w:rPr>
        <w:t>Imbree v McNeilly</w:t>
      </w:r>
      <w:r w:rsidRPr="00445637">
        <w:t xml:space="preserve"> (2008) 236 CLR 510 at 526 [45] per Gummow, Hayne and Kiefel JJ.</w:t>
      </w:r>
    </w:p>
  </w:footnote>
  <w:footnote w:id="16">
    <w:p w14:paraId="42B96F69" w14:textId="77777777" w:rsidR="004722B0" w:rsidRDefault="004722B0" w:rsidP="008359CC">
      <w:pPr>
        <w:pStyle w:val="FootnoteText"/>
        <w:ind w:hanging="1440"/>
      </w:pPr>
      <w:r>
        <w:rPr>
          <w:rStyle w:val="FootnoteReference"/>
        </w:rPr>
        <w:footnoteRef/>
      </w:r>
      <w:r w:rsidRPr="00633ACC">
        <w:t xml:space="preserve"> (1993) 67 ALJR 841; 116 ALR 625</w:t>
      </w:r>
      <w:r>
        <w:rPr>
          <w:b/>
        </w:rPr>
        <w:t>.</w:t>
      </w:r>
    </w:p>
  </w:footnote>
  <w:footnote w:id="17">
    <w:p w14:paraId="5EF3DD85" w14:textId="77777777" w:rsidR="004722B0" w:rsidRPr="00681E25" w:rsidRDefault="004722B0" w:rsidP="008359CC">
      <w:pPr>
        <w:pStyle w:val="FootnoteText"/>
        <w:ind w:left="0" w:firstLine="0"/>
        <w:rPr>
          <w:b/>
        </w:rPr>
      </w:pPr>
      <w:r>
        <w:rPr>
          <w:rStyle w:val="FootnoteReference"/>
        </w:rPr>
        <w:footnoteRef/>
      </w:r>
      <w:r>
        <w:t xml:space="preserve"> </w:t>
      </w:r>
      <w:r w:rsidRPr="00633ACC">
        <w:t>(1993) 67 ALJR 841 at 844; 116 ALR 625 at 629</w:t>
      </w:r>
      <w:r>
        <w:rPr>
          <w:b/>
        </w:rPr>
        <w:t xml:space="preserve">, </w:t>
      </w:r>
      <w:r>
        <w:t xml:space="preserve">quoted in </w:t>
      </w:r>
      <w:r>
        <w:rPr>
          <w:i/>
        </w:rPr>
        <w:t>Aon</w:t>
      </w:r>
      <w:r>
        <w:t xml:space="preserve"> (2009) 239 CLR 175 at 190 per French CJ.</w:t>
      </w:r>
    </w:p>
  </w:footnote>
  <w:footnote w:id="18">
    <w:p w14:paraId="4C861101" w14:textId="77777777" w:rsidR="004722B0" w:rsidRPr="00A20E1D" w:rsidRDefault="004722B0" w:rsidP="008359CC">
      <w:pPr>
        <w:pStyle w:val="FootnoteText"/>
        <w:ind w:left="0" w:firstLine="0"/>
        <w:rPr>
          <w:b/>
        </w:rPr>
      </w:pPr>
      <w:r>
        <w:rPr>
          <w:rStyle w:val="FootnoteReference"/>
        </w:rPr>
        <w:footnoteRef/>
      </w:r>
      <w:r>
        <w:t xml:space="preserve"> A.A.S. Zuckerman, “Reform in the Shadow of Lawyers’ Interests” in A.A.S. Zuckerman</w:t>
      </w:r>
      <w:r w:rsidDel="0002117D">
        <w:t xml:space="preserve"> </w:t>
      </w:r>
      <w:r>
        <w:t>and Ross Cranston (eds),</w:t>
      </w:r>
      <w:r>
        <w:rPr>
          <w:i/>
        </w:rPr>
        <w:t xml:space="preserve"> Reform of Civil Procedure – Essays on ‘Access to Justice”</w:t>
      </w:r>
      <w:r>
        <w:t xml:space="preserve"> (Clarendon Press, 1995) 61, 73-76.</w:t>
      </w:r>
    </w:p>
  </w:footnote>
  <w:footnote w:id="19">
    <w:p w14:paraId="4E473D76" w14:textId="77777777" w:rsidR="004722B0" w:rsidRPr="00BD054B" w:rsidRDefault="004722B0" w:rsidP="008359CC">
      <w:pPr>
        <w:spacing w:line="240" w:lineRule="auto"/>
      </w:pPr>
      <w:r>
        <w:rPr>
          <w:rStyle w:val="FootnoteReference"/>
        </w:rPr>
        <w:footnoteRef/>
      </w:r>
      <w:r>
        <w:t xml:space="preserve"> </w:t>
      </w:r>
      <w:r w:rsidRPr="00705C0A">
        <w:rPr>
          <w:sz w:val="20"/>
          <w:szCs w:val="20"/>
        </w:rPr>
        <w:t xml:space="preserve">Lord Woolf, </w:t>
      </w:r>
      <w:r w:rsidRPr="00BD054B">
        <w:rPr>
          <w:i/>
          <w:sz w:val="20"/>
          <w:szCs w:val="20"/>
        </w:rPr>
        <w:t xml:space="preserve">Access to Justice: Final Report to the Lord Chancellor on the Civil Justice System in </w:t>
      </w:r>
      <w:smartTag w:uri="urn:schemas-microsoft-com:office:smarttags" w:element="country-region">
        <w:r w:rsidRPr="00BD054B">
          <w:rPr>
            <w:i/>
            <w:sz w:val="20"/>
            <w:szCs w:val="20"/>
          </w:rPr>
          <w:t>England</w:t>
        </w:r>
      </w:smartTag>
      <w:r w:rsidRPr="00BD054B">
        <w:rPr>
          <w:i/>
          <w:sz w:val="20"/>
          <w:szCs w:val="20"/>
        </w:rPr>
        <w:t xml:space="preserve"> and </w:t>
      </w:r>
      <w:smartTag w:uri="urn:schemas-microsoft-com:office:smarttags" w:element="place">
        <w:smartTag w:uri="urn:schemas-microsoft-com:office:smarttags" w:element="country-region">
          <w:r w:rsidRPr="00BD054B">
            <w:rPr>
              <w:i/>
              <w:sz w:val="20"/>
              <w:szCs w:val="20"/>
            </w:rPr>
            <w:t>Wales</w:t>
          </w:r>
        </w:smartTag>
      </w:smartTag>
      <w:r w:rsidRPr="00705C0A">
        <w:rPr>
          <w:sz w:val="20"/>
          <w:szCs w:val="20"/>
        </w:rPr>
        <w:t xml:space="preserve"> (1996)</w:t>
      </w:r>
      <w:r>
        <w:rPr>
          <w:sz w:val="20"/>
          <w:szCs w:val="20"/>
        </w:rPr>
        <w:t>.</w:t>
      </w:r>
    </w:p>
  </w:footnote>
  <w:footnote w:id="20">
    <w:p w14:paraId="1E0DB980" w14:textId="77777777" w:rsidR="004722B0" w:rsidRPr="00681E25" w:rsidRDefault="004722B0" w:rsidP="008359CC">
      <w:pPr>
        <w:pStyle w:val="FootnoteText"/>
        <w:ind w:left="0" w:firstLine="0"/>
        <w:rPr>
          <w:b/>
        </w:rPr>
      </w:pPr>
      <w:r>
        <w:rPr>
          <w:rStyle w:val="FootnoteReference"/>
        </w:rPr>
        <w:footnoteRef/>
      </w:r>
      <w:r>
        <w:t xml:space="preserve"> </w:t>
      </w:r>
      <w:r w:rsidRPr="004F64EE">
        <w:t>Adrian Zuckerman, “Litigation Management under the CPR: A Poorly-used Management Infrastructure” in Deirdre</w:t>
      </w:r>
      <w:r>
        <w:t xml:space="preserve"> </w:t>
      </w:r>
      <w:r w:rsidRPr="004F64EE">
        <w:t>Dwyer</w:t>
      </w:r>
      <w:r w:rsidRPr="004F64EE" w:rsidDel="004F64EE">
        <w:t xml:space="preserve"> </w:t>
      </w:r>
      <w:r w:rsidRPr="004F64EE">
        <w:t>(ed)</w:t>
      </w:r>
      <w:r>
        <w:t xml:space="preserve">, </w:t>
      </w:r>
      <w:r>
        <w:rPr>
          <w:i/>
        </w:rPr>
        <w:t>The Civil Procedure Rules Ten Years O</w:t>
      </w:r>
      <w:r w:rsidRPr="00226E84">
        <w:rPr>
          <w:i/>
        </w:rPr>
        <w:t>n</w:t>
      </w:r>
      <w:r>
        <w:t xml:space="preserve"> (Oxford University </w:t>
      </w:r>
      <w:r w:rsidRPr="0006275D">
        <w:t>Press, 2009) 89, 102</w:t>
      </w:r>
      <w:r>
        <w:t>.</w:t>
      </w:r>
    </w:p>
  </w:footnote>
  <w:footnote w:id="21">
    <w:p w14:paraId="0F9230FB" w14:textId="77777777" w:rsidR="004722B0" w:rsidRPr="00681E25" w:rsidRDefault="004722B0" w:rsidP="00764F85">
      <w:pPr>
        <w:pStyle w:val="FootnoteText"/>
        <w:ind w:left="0" w:firstLine="0"/>
        <w:rPr>
          <w:b/>
        </w:rPr>
      </w:pPr>
      <w:r>
        <w:rPr>
          <w:rStyle w:val="FootnoteReference"/>
        </w:rPr>
        <w:footnoteRef/>
      </w:r>
      <w:r>
        <w:t xml:space="preserve"> </w:t>
      </w:r>
      <w:r>
        <w:rPr>
          <w:i/>
        </w:rPr>
        <w:t xml:space="preserve">Aon </w:t>
      </w:r>
      <w:r>
        <w:t>(2009) 239 CLR 175 at 217.</w:t>
      </w:r>
    </w:p>
  </w:footnote>
  <w:footnote w:id="22">
    <w:p w14:paraId="766DB99D" w14:textId="77777777" w:rsidR="004722B0" w:rsidRPr="00681E25" w:rsidRDefault="004722B0" w:rsidP="00764F85">
      <w:pPr>
        <w:pStyle w:val="FootnoteText"/>
        <w:ind w:left="0" w:firstLine="0"/>
        <w:rPr>
          <w:b/>
        </w:rPr>
      </w:pPr>
      <w:r>
        <w:rPr>
          <w:rStyle w:val="FootnoteReference"/>
        </w:rPr>
        <w:footnoteRef/>
      </w:r>
      <w:r>
        <w:t xml:space="preserve"> Ibid 214.</w:t>
      </w:r>
    </w:p>
  </w:footnote>
  <w:footnote w:id="23">
    <w:p w14:paraId="6A76B139" w14:textId="77777777" w:rsidR="004722B0" w:rsidRDefault="004722B0" w:rsidP="00764F85">
      <w:pPr>
        <w:pStyle w:val="FootnoteText"/>
        <w:ind w:left="0" w:firstLine="0"/>
      </w:pPr>
      <w:r>
        <w:rPr>
          <w:rStyle w:val="FootnoteReference"/>
        </w:rPr>
        <w:footnoteRef/>
      </w:r>
      <w:r w:rsidRPr="00032B37">
        <w:t xml:space="preserve"> </w:t>
      </w:r>
      <w:r>
        <w:rPr>
          <w:rStyle w:val="Emphasis"/>
          <w:b w:val="0"/>
          <w:color w:val="000000"/>
        </w:rPr>
        <w:t xml:space="preserve">See </w:t>
      </w:r>
      <w:r>
        <w:rPr>
          <w:rStyle w:val="Emphasis"/>
          <w:b w:val="0"/>
          <w:i/>
          <w:color w:val="000000"/>
        </w:rPr>
        <w:t>Kirk v</w:t>
      </w:r>
      <w:r w:rsidRPr="00032B37">
        <w:rPr>
          <w:rStyle w:val="Emphasis"/>
          <w:b w:val="0"/>
          <w:i/>
          <w:color w:val="000000"/>
        </w:rPr>
        <w:t xml:space="preserve"> Industrial Relations Commission of NSW</w:t>
      </w:r>
      <w:r w:rsidRPr="00032B37">
        <w:rPr>
          <w:i/>
          <w:color w:val="000000"/>
        </w:rPr>
        <w:t xml:space="preserve"> &amp; WorkCover NSW</w:t>
      </w:r>
      <w:r>
        <w:t xml:space="preserve"> (2010)</w:t>
      </w:r>
      <w:r w:rsidRPr="00032B37">
        <w:t xml:space="preserve"> </w:t>
      </w:r>
      <w:r w:rsidRPr="00032B37">
        <w:rPr>
          <w:rStyle w:val="citation"/>
          <w:color w:val="000000"/>
        </w:rPr>
        <w:t>239 CLR 531</w:t>
      </w:r>
      <w:r>
        <w:t>.</w:t>
      </w:r>
    </w:p>
  </w:footnote>
  <w:footnote w:id="24">
    <w:p w14:paraId="6679B4D7" w14:textId="77777777" w:rsidR="004722B0" w:rsidRPr="000A6972" w:rsidRDefault="004722B0" w:rsidP="00764F85">
      <w:pPr>
        <w:pStyle w:val="FootnoteText"/>
        <w:ind w:left="0" w:firstLine="0"/>
        <w:rPr>
          <w:b/>
        </w:rPr>
      </w:pPr>
      <w:r>
        <w:rPr>
          <w:rStyle w:val="FootnoteReference"/>
        </w:rPr>
        <w:footnoteRef/>
      </w:r>
      <w:r>
        <w:t xml:space="preserve"> </w:t>
      </w:r>
      <w:r w:rsidRPr="004F64EE">
        <w:t xml:space="preserve">Zuckerman, </w:t>
      </w:r>
      <w:r>
        <w:t>above n 20</w:t>
      </w:r>
      <w:r w:rsidRPr="000A6972">
        <w:t xml:space="preserve">, </w:t>
      </w:r>
      <w:r w:rsidRPr="000A6972">
        <w:rPr>
          <w:lang w:val="en-US"/>
        </w:rPr>
        <w:t>98</w:t>
      </w:r>
      <w:r>
        <w:rPr>
          <w:b/>
        </w:rPr>
        <w:t>.</w:t>
      </w:r>
    </w:p>
  </w:footnote>
  <w:footnote w:id="25">
    <w:p w14:paraId="661B93D7" w14:textId="77777777" w:rsidR="004722B0" w:rsidRPr="00D70907" w:rsidRDefault="004722B0" w:rsidP="004722B0">
      <w:pPr>
        <w:spacing w:line="240" w:lineRule="auto"/>
        <w:rPr>
          <w:sz w:val="20"/>
          <w:szCs w:val="20"/>
        </w:rPr>
      </w:pPr>
      <w:r w:rsidRPr="00D70907">
        <w:rPr>
          <w:rStyle w:val="FootnoteReference"/>
          <w:sz w:val="20"/>
          <w:szCs w:val="20"/>
        </w:rPr>
        <w:footnoteRef/>
      </w:r>
      <w:r w:rsidRPr="00D70907">
        <w:rPr>
          <w:sz w:val="20"/>
          <w:szCs w:val="20"/>
        </w:rPr>
        <w:t xml:space="preserve"> See, for example, decisions in the Supreme Court of Victoria - </w:t>
      </w:r>
      <w:r w:rsidRPr="00D70907">
        <w:rPr>
          <w:i/>
          <w:sz w:val="20"/>
          <w:szCs w:val="20"/>
        </w:rPr>
        <w:t>Walsh v Croucher</w:t>
      </w:r>
      <w:r w:rsidRPr="00D70907">
        <w:rPr>
          <w:sz w:val="20"/>
          <w:szCs w:val="20"/>
        </w:rPr>
        <w:t xml:space="preserve"> [2010] VSC 296; </w:t>
      </w:r>
      <w:r w:rsidRPr="00D70907">
        <w:rPr>
          <w:i/>
          <w:sz w:val="20"/>
          <w:szCs w:val="20"/>
        </w:rPr>
        <w:t>Kruisselbrink v Nationwide Maintenance Services Pty Ltd</w:t>
      </w:r>
      <w:r w:rsidRPr="00D70907">
        <w:rPr>
          <w:sz w:val="20"/>
          <w:szCs w:val="20"/>
        </w:rPr>
        <w:t xml:space="preserve"> </w:t>
      </w:r>
      <w:hyperlink r:id="rId1" w:tgtFrame="_parent" w:history="1">
        <w:r w:rsidRPr="00D70907">
          <w:rPr>
            <w:rStyle w:val="Hyperlink"/>
            <w:rFonts w:ascii="Times New Roman" w:hAnsi="Times New Roman"/>
            <w:sz w:val="20"/>
            <w:szCs w:val="20"/>
          </w:rPr>
          <w:t>[2010] VSC 260</w:t>
        </w:r>
      </w:hyperlink>
      <w:r w:rsidRPr="00D70907">
        <w:rPr>
          <w:sz w:val="20"/>
          <w:szCs w:val="20"/>
        </w:rPr>
        <w:t xml:space="preserve">; </w:t>
      </w:r>
      <w:r w:rsidRPr="00D70907">
        <w:rPr>
          <w:i/>
          <w:sz w:val="20"/>
          <w:szCs w:val="20"/>
        </w:rPr>
        <w:t>Roads Corp v Love</w:t>
      </w:r>
      <w:r w:rsidRPr="00D70907">
        <w:rPr>
          <w:sz w:val="20"/>
          <w:szCs w:val="20"/>
        </w:rPr>
        <w:t xml:space="preserve"> </w:t>
      </w:r>
      <w:hyperlink r:id="rId2" w:tgtFrame="_parent" w:history="1">
        <w:r w:rsidRPr="00D70907">
          <w:rPr>
            <w:rStyle w:val="Hyperlink"/>
            <w:rFonts w:ascii="Times New Roman" w:hAnsi="Times New Roman"/>
            <w:sz w:val="20"/>
            <w:szCs w:val="20"/>
          </w:rPr>
          <w:t>[2010] VSC 238</w:t>
        </w:r>
      </w:hyperlink>
      <w:r w:rsidRPr="00D70907">
        <w:rPr>
          <w:sz w:val="20"/>
          <w:szCs w:val="20"/>
        </w:rPr>
        <w:t xml:space="preserve">; </w:t>
      </w:r>
      <w:r w:rsidRPr="00D70907">
        <w:rPr>
          <w:i/>
          <w:sz w:val="20"/>
          <w:szCs w:val="20"/>
        </w:rPr>
        <w:t>Hodgson v Amcor Ltd; Amcor Ltd v Barnes</w:t>
      </w:r>
      <w:r w:rsidRPr="00D70907">
        <w:rPr>
          <w:sz w:val="20"/>
          <w:szCs w:val="20"/>
        </w:rPr>
        <w:t xml:space="preserve"> </w:t>
      </w:r>
      <w:hyperlink r:id="rId3" w:tgtFrame="_parent" w:history="1">
        <w:r w:rsidRPr="00D70907">
          <w:rPr>
            <w:rStyle w:val="Hyperlink"/>
            <w:rFonts w:ascii="Times New Roman" w:hAnsi="Times New Roman"/>
            <w:sz w:val="20"/>
            <w:szCs w:val="20"/>
          </w:rPr>
          <w:t>[2010] VSC 204</w:t>
        </w:r>
      </w:hyperlink>
      <w:r w:rsidRPr="00D70907">
        <w:rPr>
          <w:sz w:val="20"/>
          <w:szCs w:val="20"/>
        </w:rPr>
        <w:t xml:space="preserve">; </w:t>
      </w:r>
      <w:r w:rsidRPr="00D70907">
        <w:rPr>
          <w:i/>
          <w:sz w:val="20"/>
          <w:szCs w:val="20"/>
        </w:rPr>
        <w:t>Slaveski v Victoria</w:t>
      </w:r>
      <w:r w:rsidRPr="00D70907">
        <w:rPr>
          <w:sz w:val="20"/>
          <w:szCs w:val="20"/>
        </w:rPr>
        <w:t xml:space="preserve"> </w:t>
      </w:r>
      <w:hyperlink r:id="rId4" w:tgtFrame="_parent" w:history="1">
        <w:r w:rsidRPr="00D70907">
          <w:rPr>
            <w:rStyle w:val="Hyperlink"/>
            <w:rFonts w:ascii="Times New Roman" w:hAnsi="Times New Roman"/>
            <w:sz w:val="20"/>
            <w:szCs w:val="20"/>
          </w:rPr>
          <w:t>[2010] VSC 200</w:t>
        </w:r>
      </w:hyperlink>
      <w:r w:rsidRPr="00D70907">
        <w:rPr>
          <w:sz w:val="20"/>
          <w:szCs w:val="20"/>
        </w:rPr>
        <w:t xml:space="preserve">; </w:t>
      </w:r>
      <w:r w:rsidRPr="00D70907">
        <w:rPr>
          <w:i/>
          <w:sz w:val="20"/>
          <w:szCs w:val="20"/>
        </w:rPr>
        <w:t>ACN 074 971 109 v National Mutual Life Association of Australasia Ltd</w:t>
      </w:r>
      <w:r w:rsidRPr="00D70907">
        <w:rPr>
          <w:sz w:val="20"/>
          <w:szCs w:val="20"/>
        </w:rPr>
        <w:t xml:space="preserve"> </w:t>
      </w:r>
      <w:hyperlink r:id="rId5" w:tgtFrame="_parent" w:history="1">
        <w:r w:rsidRPr="00D70907">
          <w:rPr>
            <w:rStyle w:val="Hyperlink"/>
            <w:rFonts w:ascii="Times New Roman" w:hAnsi="Times New Roman"/>
            <w:sz w:val="20"/>
            <w:szCs w:val="20"/>
          </w:rPr>
          <w:t>[2010] VSC 186</w:t>
        </w:r>
      </w:hyperlink>
      <w:r w:rsidRPr="00D70907">
        <w:rPr>
          <w:sz w:val="20"/>
          <w:szCs w:val="20"/>
        </w:rPr>
        <w:t xml:space="preserve">; </w:t>
      </w:r>
      <w:r w:rsidRPr="00D70907">
        <w:rPr>
          <w:i/>
          <w:sz w:val="20"/>
          <w:szCs w:val="20"/>
        </w:rPr>
        <w:t>Perpetual Trustees Australia Ltd v Schmidt</w:t>
      </w:r>
      <w:r w:rsidRPr="00D70907">
        <w:rPr>
          <w:sz w:val="20"/>
          <w:szCs w:val="20"/>
        </w:rPr>
        <w:t xml:space="preserve">  </w:t>
      </w:r>
      <w:hyperlink r:id="rId6" w:tgtFrame="_parent" w:history="1">
        <w:r w:rsidRPr="00D70907">
          <w:rPr>
            <w:rStyle w:val="Hyperlink"/>
            <w:rFonts w:ascii="Times New Roman" w:hAnsi="Times New Roman"/>
            <w:sz w:val="20"/>
            <w:szCs w:val="20"/>
          </w:rPr>
          <w:t>[2010] VSC 67</w:t>
        </w:r>
      </w:hyperlink>
      <w:r w:rsidRPr="00D70907">
        <w:rPr>
          <w:sz w:val="20"/>
          <w:szCs w:val="20"/>
        </w:rPr>
        <w:t xml:space="preserve">; </w:t>
      </w:r>
      <w:r w:rsidRPr="00D70907">
        <w:rPr>
          <w:i/>
          <w:sz w:val="20"/>
          <w:szCs w:val="20"/>
        </w:rPr>
        <w:t>Saeco Australia Pty Ltd, Re</w:t>
      </w:r>
      <w:r w:rsidRPr="00D70907">
        <w:rPr>
          <w:sz w:val="20"/>
          <w:szCs w:val="20"/>
        </w:rPr>
        <w:t xml:space="preserve"> </w:t>
      </w:r>
      <w:hyperlink r:id="rId7" w:tgtFrame="_parent" w:history="1">
        <w:r w:rsidRPr="00D70907">
          <w:rPr>
            <w:rStyle w:val="Hyperlink"/>
            <w:rFonts w:ascii="Times New Roman" w:hAnsi="Times New Roman"/>
            <w:sz w:val="20"/>
            <w:szCs w:val="20"/>
          </w:rPr>
          <w:t>[2010] VSC 161</w:t>
        </w:r>
      </w:hyperlink>
      <w:r w:rsidRPr="00D70907">
        <w:rPr>
          <w:sz w:val="20"/>
          <w:szCs w:val="20"/>
        </w:rPr>
        <w:t xml:space="preserve">; </w:t>
      </w:r>
      <w:r w:rsidRPr="00D70907">
        <w:rPr>
          <w:i/>
          <w:sz w:val="20"/>
          <w:szCs w:val="20"/>
        </w:rPr>
        <w:t>Roads Corp v Love</w:t>
      </w:r>
      <w:r w:rsidRPr="00D70907">
        <w:rPr>
          <w:sz w:val="20"/>
          <w:szCs w:val="20"/>
        </w:rPr>
        <w:t xml:space="preserve"> </w:t>
      </w:r>
      <w:hyperlink r:id="rId8" w:tgtFrame="_parent" w:history="1">
        <w:r w:rsidRPr="00D70907">
          <w:rPr>
            <w:rStyle w:val="Hyperlink"/>
            <w:rFonts w:ascii="Times New Roman" w:hAnsi="Times New Roman"/>
            <w:sz w:val="20"/>
            <w:szCs w:val="20"/>
          </w:rPr>
          <w:t>[2010] VSC 154</w:t>
        </w:r>
      </w:hyperlink>
      <w:r w:rsidRPr="00D70907">
        <w:rPr>
          <w:sz w:val="20"/>
          <w:szCs w:val="20"/>
        </w:rPr>
        <w:t xml:space="preserve"> ; </w:t>
      </w:r>
      <w:r w:rsidRPr="00D70907">
        <w:rPr>
          <w:i/>
          <w:sz w:val="20"/>
          <w:szCs w:val="20"/>
        </w:rPr>
        <w:t>Solak v Registrar of Titles (No 2)</w:t>
      </w:r>
      <w:r w:rsidRPr="00D70907">
        <w:rPr>
          <w:sz w:val="20"/>
          <w:szCs w:val="20"/>
        </w:rPr>
        <w:t xml:space="preserve"> </w:t>
      </w:r>
      <w:hyperlink r:id="rId9" w:tgtFrame="_parent" w:history="1">
        <w:r w:rsidRPr="00D70907">
          <w:rPr>
            <w:rStyle w:val="Hyperlink"/>
            <w:rFonts w:ascii="Times New Roman" w:hAnsi="Times New Roman"/>
            <w:sz w:val="20"/>
            <w:szCs w:val="20"/>
          </w:rPr>
          <w:t>[2010] VSC 146</w:t>
        </w:r>
      </w:hyperlink>
      <w:r w:rsidRPr="00D70907">
        <w:rPr>
          <w:sz w:val="20"/>
          <w:szCs w:val="20"/>
        </w:rPr>
        <w:t xml:space="preserve">; </w:t>
      </w:r>
      <w:r w:rsidRPr="00D70907">
        <w:rPr>
          <w:i/>
          <w:sz w:val="20"/>
          <w:szCs w:val="20"/>
        </w:rPr>
        <w:t>Equuscorp Pty Ltd v Acehand Pty Ltd</w:t>
      </w:r>
      <w:r w:rsidRPr="00D70907">
        <w:rPr>
          <w:sz w:val="20"/>
          <w:szCs w:val="20"/>
        </w:rPr>
        <w:t xml:space="preserve"> </w:t>
      </w:r>
      <w:hyperlink r:id="rId10" w:tgtFrame="_parent" w:history="1">
        <w:r w:rsidRPr="00D70907">
          <w:rPr>
            <w:rStyle w:val="Hyperlink"/>
            <w:rFonts w:ascii="Times New Roman" w:hAnsi="Times New Roman"/>
            <w:sz w:val="20"/>
            <w:szCs w:val="20"/>
          </w:rPr>
          <w:t>[2010] VSC 89</w:t>
        </w:r>
      </w:hyperlink>
      <w:r w:rsidRPr="00D70907">
        <w:rPr>
          <w:sz w:val="20"/>
          <w:szCs w:val="20"/>
        </w:rPr>
        <w:t xml:space="preserve">; </w:t>
      </w:r>
      <w:r w:rsidRPr="00D70907">
        <w:rPr>
          <w:i/>
          <w:sz w:val="20"/>
          <w:szCs w:val="20"/>
        </w:rPr>
        <w:t>Ambridge Investments Pty Ltd (in liq) v Baker</w:t>
      </w:r>
      <w:r w:rsidRPr="00D70907">
        <w:rPr>
          <w:sz w:val="20"/>
          <w:szCs w:val="20"/>
        </w:rPr>
        <w:t xml:space="preserve"> </w:t>
      </w:r>
      <w:hyperlink r:id="rId11" w:tgtFrame="_parent" w:history="1">
        <w:r w:rsidRPr="00D70907">
          <w:rPr>
            <w:rStyle w:val="Hyperlink"/>
            <w:rFonts w:ascii="Times New Roman" w:hAnsi="Times New Roman"/>
            <w:sz w:val="20"/>
            <w:szCs w:val="20"/>
          </w:rPr>
          <w:t>[2010] VSC 59</w:t>
        </w:r>
      </w:hyperlink>
      <w:r w:rsidRPr="00D70907">
        <w:rPr>
          <w:sz w:val="20"/>
          <w:szCs w:val="20"/>
        </w:rPr>
        <w:t xml:space="preserve">; </w:t>
      </w:r>
      <w:r w:rsidRPr="00D70907">
        <w:rPr>
          <w:i/>
          <w:sz w:val="20"/>
          <w:szCs w:val="20"/>
        </w:rPr>
        <w:t>AED Oil Ltd v Puffin FPSO Ltd (No 4)</w:t>
      </w:r>
      <w:r w:rsidRPr="00D70907">
        <w:rPr>
          <w:sz w:val="20"/>
          <w:szCs w:val="20"/>
        </w:rPr>
        <w:t xml:space="preserve"> </w:t>
      </w:r>
      <w:hyperlink r:id="rId12" w:tgtFrame="_parent" w:history="1">
        <w:r w:rsidRPr="00D70907">
          <w:rPr>
            <w:rStyle w:val="Hyperlink"/>
            <w:rFonts w:ascii="Times New Roman" w:hAnsi="Times New Roman"/>
            <w:sz w:val="20"/>
            <w:szCs w:val="20"/>
          </w:rPr>
          <w:t>[2010] VSC 65</w:t>
        </w:r>
      </w:hyperlink>
      <w:r w:rsidRPr="00D70907">
        <w:rPr>
          <w:sz w:val="20"/>
          <w:szCs w:val="20"/>
        </w:rPr>
        <w:t xml:space="preserve">; </w:t>
      </w:r>
      <w:r w:rsidRPr="00D70907">
        <w:rPr>
          <w:i/>
          <w:sz w:val="20"/>
          <w:szCs w:val="20"/>
        </w:rPr>
        <w:t>Environment East Gippsland Inc v VicForests (Ruling No 2)</w:t>
      </w:r>
      <w:r w:rsidRPr="00D70907">
        <w:rPr>
          <w:sz w:val="20"/>
          <w:szCs w:val="20"/>
        </w:rPr>
        <w:t xml:space="preserve"> </w:t>
      </w:r>
      <w:hyperlink r:id="rId13" w:tgtFrame="_parent" w:history="1">
        <w:r w:rsidRPr="00D70907">
          <w:rPr>
            <w:rStyle w:val="Hyperlink"/>
            <w:rFonts w:ascii="Times New Roman" w:hAnsi="Times New Roman"/>
            <w:sz w:val="20"/>
            <w:szCs w:val="20"/>
          </w:rPr>
          <w:t>[2010] VSC 53</w:t>
        </w:r>
      </w:hyperlink>
      <w:r w:rsidRPr="00D70907">
        <w:rPr>
          <w:sz w:val="20"/>
          <w:szCs w:val="20"/>
        </w:rPr>
        <w:t xml:space="preserve">; </w:t>
      </w:r>
      <w:r w:rsidRPr="00D70907">
        <w:rPr>
          <w:i/>
          <w:sz w:val="20"/>
          <w:szCs w:val="20"/>
        </w:rPr>
        <w:t>Hamilton v Kennedy</w:t>
      </w:r>
      <w:r w:rsidRPr="00D70907">
        <w:rPr>
          <w:sz w:val="20"/>
          <w:szCs w:val="20"/>
        </w:rPr>
        <w:t xml:space="preserve"> </w:t>
      </w:r>
      <w:hyperlink r:id="rId14" w:tgtFrame="_parent" w:history="1">
        <w:r w:rsidRPr="00D70907">
          <w:rPr>
            <w:rStyle w:val="Hyperlink"/>
            <w:rFonts w:ascii="Times New Roman" w:hAnsi="Times New Roman"/>
            <w:sz w:val="20"/>
            <w:szCs w:val="20"/>
          </w:rPr>
          <w:t>[2010] VSC 1</w:t>
        </w:r>
      </w:hyperlink>
      <w:r w:rsidRPr="00D70907">
        <w:rPr>
          <w:sz w:val="20"/>
          <w:szCs w:val="20"/>
        </w:rPr>
        <w:t xml:space="preserve">; </w:t>
      </w:r>
      <w:r w:rsidRPr="00D70907">
        <w:rPr>
          <w:i/>
          <w:sz w:val="20"/>
          <w:szCs w:val="20"/>
        </w:rPr>
        <w:t>Roads Corporation v Love</w:t>
      </w:r>
      <w:r w:rsidRPr="00D70907">
        <w:rPr>
          <w:sz w:val="20"/>
          <w:szCs w:val="20"/>
        </w:rPr>
        <w:t xml:space="preserve"> </w:t>
      </w:r>
      <w:hyperlink r:id="rId15" w:tgtFrame="_parent" w:history="1">
        <w:r w:rsidRPr="00D70907">
          <w:rPr>
            <w:rStyle w:val="Hyperlink"/>
            <w:rFonts w:ascii="Times New Roman" w:hAnsi="Times New Roman"/>
            <w:sz w:val="20"/>
            <w:szCs w:val="20"/>
          </w:rPr>
          <w:t>[2009] VSC 628</w:t>
        </w:r>
      </w:hyperlink>
      <w:r w:rsidRPr="00D70907">
        <w:rPr>
          <w:sz w:val="20"/>
          <w:szCs w:val="20"/>
        </w:rPr>
        <w:t xml:space="preserve">; </w:t>
      </w:r>
      <w:r w:rsidRPr="00D70907">
        <w:rPr>
          <w:i/>
          <w:sz w:val="20"/>
          <w:szCs w:val="20"/>
        </w:rPr>
        <w:t>AWB Ltd (No 10), Re; Australian Securities and Investments Commission v Lindberg</w:t>
      </w:r>
      <w:r w:rsidRPr="00D70907">
        <w:rPr>
          <w:sz w:val="20"/>
          <w:szCs w:val="20"/>
        </w:rPr>
        <w:t xml:space="preserve"> </w:t>
      </w:r>
      <w:hyperlink r:id="rId16" w:tgtFrame="_parent" w:history="1">
        <w:r w:rsidRPr="00D70907">
          <w:rPr>
            <w:rStyle w:val="Hyperlink"/>
            <w:rFonts w:ascii="Times New Roman" w:hAnsi="Times New Roman"/>
            <w:sz w:val="20"/>
            <w:szCs w:val="20"/>
          </w:rPr>
          <w:t>(2009) 76 ACSR 181</w:t>
        </w:r>
      </w:hyperlink>
      <w:r w:rsidRPr="00D70907">
        <w:rPr>
          <w:sz w:val="20"/>
          <w:szCs w:val="20"/>
        </w:rPr>
        <w:t xml:space="preserve">; </w:t>
      </w:r>
      <w:hyperlink r:id="rId17" w:tgtFrame="_parent" w:history="1">
        <w:r w:rsidRPr="00D70907">
          <w:rPr>
            <w:rStyle w:val="Hyperlink"/>
            <w:rFonts w:ascii="Times New Roman" w:hAnsi="Times New Roman"/>
            <w:sz w:val="20"/>
            <w:szCs w:val="20"/>
          </w:rPr>
          <w:t>[2009] VSC 566</w:t>
        </w:r>
      </w:hyperlink>
      <w:r w:rsidRPr="00D70907">
        <w:rPr>
          <w:sz w:val="20"/>
          <w:szCs w:val="20"/>
        </w:rPr>
        <w:t xml:space="preserve">; </w:t>
      </w:r>
      <w:r w:rsidRPr="00D70907">
        <w:rPr>
          <w:i/>
          <w:sz w:val="20"/>
          <w:szCs w:val="20"/>
        </w:rPr>
        <w:t>Tinworth v WV Management Pty Ltd</w:t>
      </w:r>
      <w:r w:rsidRPr="00D70907">
        <w:rPr>
          <w:sz w:val="20"/>
          <w:szCs w:val="20"/>
        </w:rPr>
        <w:t xml:space="preserve"> </w:t>
      </w:r>
      <w:hyperlink r:id="rId18" w:tgtFrame="_parent" w:history="1">
        <w:r w:rsidRPr="00D70907">
          <w:rPr>
            <w:rStyle w:val="Hyperlink"/>
            <w:rFonts w:ascii="Times New Roman" w:hAnsi="Times New Roman"/>
            <w:sz w:val="20"/>
            <w:szCs w:val="20"/>
          </w:rPr>
          <w:t>[2009] VSC 552</w:t>
        </w:r>
      </w:hyperlink>
      <w:r w:rsidRPr="00D70907">
        <w:rPr>
          <w:sz w:val="20"/>
          <w:szCs w:val="20"/>
        </w:rPr>
        <w:t xml:space="preserve">; </w:t>
      </w:r>
      <w:r w:rsidRPr="00D70907">
        <w:rPr>
          <w:i/>
          <w:sz w:val="20"/>
          <w:szCs w:val="20"/>
        </w:rPr>
        <w:t>Love v State of Victoria</w:t>
      </w:r>
      <w:r w:rsidRPr="00D70907">
        <w:rPr>
          <w:sz w:val="20"/>
          <w:szCs w:val="20"/>
        </w:rPr>
        <w:t xml:space="preserve"> (No 2) </w:t>
      </w:r>
      <w:hyperlink r:id="rId19" w:tgtFrame="_parent" w:history="1">
        <w:r w:rsidRPr="00D70907">
          <w:rPr>
            <w:rStyle w:val="Hyperlink"/>
            <w:rFonts w:ascii="Times New Roman" w:hAnsi="Times New Roman"/>
            <w:sz w:val="20"/>
            <w:szCs w:val="20"/>
          </w:rPr>
          <w:t>[2009] VSC 531</w:t>
        </w:r>
      </w:hyperlink>
      <w:r w:rsidRPr="00D70907">
        <w:rPr>
          <w:sz w:val="20"/>
          <w:szCs w:val="20"/>
        </w:rPr>
        <w:t xml:space="preserve">; </w:t>
      </w:r>
      <w:r w:rsidRPr="00D70907">
        <w:rPr>
          <w:i/>
          <w:sz w:val="20"/>
          <w:szCs w:val="20"/>
        </w:rPr>
        <w:t>Skordos v His Honour Magistrate Garnett</w:t>
      </w:r>
      <w:r w:rsidRPr="00D70907">
        <w:rPr>
          <w:sz w:val="20"/>
          <w:szCs w:val="20"/>
        </w:rPr>
        <w:t xml:space="preserve"> </w:t>
      </w:r>
      <w:hyperlink r:id="rId20" w:tgtFrame="_parent" w:history="1">
        <w:r w:rsidRPr="00D70907">
          <w:rPr>
            <w:rStyle w:val="Hyperlink"/>
            <w:rFonts w:ascii="Times New Roman" w:hAnsi="Times New Roman"/>
            <w:sz w:val="20"/>
            <w:szCs w:val="20"/>
          </w:rPr>
          <w:t>[2009] VSC 512</w:t>
        </w:r>
      </w:hyperlink>
      <w:r w:rsidRPr="00D70907">
        <w:rPr>
          <w:sz w:val="20"/>
          <w:szCs w:val="20"/>
        </w:rPr>
        <w:t xml:space="preserve">; </w:t>
      </w:r>
      <w:r w:rsidRPr="00D70907">
        <w:rPr>
          <w:i/>
          <w:sz w:val="20"/>
          <w:szCs w:val="20"/>
        </w:rPr>
        <w:t>Perpetual Trustees Australia Ltd v Schmidt (Ruling)</w:t>
      </w:r>
      <w:r w:rsidRPr="00D70907">
        <w:rPr>
          <w:sz w:val="20"/>
          <w:szCs w:val="20"/>
        </w:rPr>
        <w:t xml:space="preserve"> </w:t>
      </w:r>
      <w:hyperlink r:id="rId21" w:tgtFrame="_parent" w:history="1">
        <w:r w:rsidRPr="00D70907">
          <w:rPr>
            <w:rStyle w:val="Hyperlink"/>
            <w:rFonts w:ascii="Times New Roman" w:hAnsi="Times New Roman"/>
            <w:sz w:val="20"/>
            <w:szCs w:val="20"/>
          </w:rPr>
          <w:t>[2009] VSC 508</w:t>
        </w:r>
      </w:hyperlink>
      <w:r w:rsidRPr="00D70907">
        <w:rPr>
          <w:sz w:val="20"/>
          <w:szCs w:val="20"/>
        </w:rPr>
        <w:t xml:space="preserve">; </w:t>
      </w:r>
      <w:r w:rsidRPr="00D70907">
        <w:rPr>
          <w:i/>
          <w:sz w:val="20"/>
          <w:szCs w:val="20"/>
        </w:rPr>
        <w:t>Nolan v MBF Investments Pty Ltd</w:t>
      </w:r>
      <w:r w:rsidRPr="00D70907">
        <w:rPr>
          <w:sz w:val="20"/>
          <w:szCs w:val="20"/>
        </w:rPr>
        <w:t xml:space="preserve"> </w:t>
      </w:r>
      <w:hyperlink r:id="rId22" w:tgtFrame="_parent" w:history="1">
        <w:r w:rsidRPr="00D70907">
          <w:rPr>
            <w:rStyle w:val="Hyperlink"/>
            <w:rFonts w:ascii="Times New Roman" w:hAnsi="Times New Roman"/>
            <w:sz w:val="20"/>
            <w:szCs w:val="20"/>
          </w:rPr>
          <w:t>[2009] VSC 457</w:t>
        </w:r>
      </w:hyperlink>
      <w:r w:rsidRPr="00D70907">
        <w:rPr>
          <w:sz w:val="20"/>
          <w:szCs w:val="20"/>
        </w:rPr>
        <w:t xml:space="preserve">; </w:t>
      </w:r>
      <w:r w:rsidRPr="00D70907">
        <w:rPr>
          <w:i/>
          <w:sz w:val="20"/>
          <w:szCs w:val="20"/>
        </w:rPr>
        <w:t>AWB Ltd (No 7), Re; Australian Securities and Investments Commission (ASIC) v Lindberg</w:t>
      </w:r>
      <w:r w:rsidRPr="00D70907">
        <w:rPr>
          <w:sz w:val="20"/>
          <w:szCs w:val="20"/>
        </w:rPr>
        <w:t xml:space="preserve">  </w:t>
      </w:r>
      <w:hyperlink r:id="rId23" w:tgtFrame="_parent" w:history="1">
        <w:r w:rsidRPr="00D70907">
          <w:rPr>
            <w:rStyle w:val="Hyperlink"/>
            <w:rFonts w:ascii="Times New Roman" w:hAnsi="Times New Roman"/>
            <w:sz w:val="20"/>
            <w:szCs w:val="20"/>
          </w:rPr>
          <w:t>[2009] VSC 413</w:t>
        </w:r>
      </w:hyperlink>
      <w:r w:rsidRPr="00D70907">
        <w:rPr>
          <w:sz w:val="20"/>
          <w:szCs w:val="20"/>
        </w:rPr>
        <w:t xml:space="preserve">; </w:t>
      </w:r>
      <w:r w:rsidRPr="00D70907">
        <w:rPr>
          <w:i/>
          <w:sz w:val="20"/>
          <w:szCs w:val="20"/>
        </w:rPr>
        <w:t>Anjin No 13 Pty Ltd v; Allianz Australia Insurance Ltd</w:t>
      </w:r>
      <w:r w:rsidRPr="00D70907">
        <w:rPr>
          <w:sz w:val="20"/>
          <w:szCs w:val="20"/>
        </w:rPr>
        <w:t xml:space="preserve"> </w:t>
      </w:r>
      <w:hyperlink r:id="rId24" w:tgtFrame="_parent" w:history="1">
        <w:r w:rsidRPr="00D70907">
          <w:rPr>
            <w:rStyle w:val="Hyperlink"/>
            <w:rFonts w:ascii="Times New Roman" w:hAnsi="Times New Roman"/>
            <w:sz w:val="20"/>
            <w:szCs w:val="20"/>
          </w:rPr>
          <w:t>[2009] VSC 371</w:t>
        </w:r>
      </w:hyperlink>
      <w:r w:rsidRPr="00D70907">
        <w:rPr>
          <w:sz w:val="20"/>
          <w:szCs w:val="20"/>
        </w:rPr>
        <w:t>.</w:t>
      </w:r>
    </w:p>
  </w:footnote>
  <w:footnote w:id="26">
    <w:p w14:paraId="4B0382FC" w14:textId="77777777" w:rsidR="004722B0" w:rsidRDefault="004722B0" w:rsidP="00764F85">
      <w:pPr>
        <w:pStyle w:val="FootnoteText"/>
        <w:ind w:left="0" w:firstLine="0"/>
      </w:pPr>
      <w:r>
        <w:rPr>
          <w:rStyle w:val="FootnoteReference"/>
        </w:rPr>
        <w:footnoteRef/>
      </w:r>
      <w:r>
        <w:t xml:space="preserve"> Some examples are </w:t>
      </w:r>
      <w:r w:rsidRPr="00D70907">
        <w:rPr>
          <w:i/>
        </w:rPr>
        <w:t>Perpetual Trustees Australia Ltd v Schmidt</w:t>
      </w:r>
      <w:r w:rsidRPr="00D70907">
        <w:t xml:space="preserve">  </w:t>
      </w:r>
      <w:hyperlink r:id="rId25" w:tgtFrame="_parent" w:history="1">
        <w:r w:rsidRPr="00D70907">
          <w:rPr>
            <w:rStyle w:val="Hyperlink"/>
            <w:rFonts w:ascii="Times New Roman" w:hAnsi="Times New Roman"/>
          </w:rPr>
          <w:t>[2010] VSC 67</w:t>
        </w:r>
      </w:hyperlink>
      <w:r>
        <w:t xml:space="preserve">; </w:t>
      </w:r>
      <w:r w:rsidRPr="00D70907">
        <w:rPr>
          <w:i/>
        </w:rPr>
        <w:t>Hamilton v Kennedy</w:t>
      </w:r>
      <w:r w:rsidRPr="00D70907">
        <w:t xml:space="preserve"> </w:t>
      </w:r>
      <w:hyperlink r:id="rId26" w:tgtFrame="_parent" w:history="1">
        <w:r w:rsidRPr="00D70907">
          <w:rPr>
            <w:rStyle w:val="Hyperlink"/>
            <w:rFonts w:ascii="Times New Roman" w:hAnsi="Times New Roman"/>
          </w:rPr>
          <w:t>[2010] VSC 1</w:t>
        </w:r>
      </w:hyperlink>
      <w:r>
        <w:t xml:space="preserve">; </w:t>
      </w:r>
      <w:r w:rsidRPr="00D70907">
        <w:rPr>
          <w:i/>
        </w:rPr>
        <w:t>Tinworth v WV Management Pty Ltd</w:t>
      </w:r>
      <w:r w:rsidRPr="00D70907">
        <w:t xml:space="preserve"> </w:t>
      </w:r>
      <w:hyperlink r:id="rId27" w:tgtFrame="_parent" w:history="1">
        <w:r w:rsidRPr="00D70907">
          <w:rPr>
            <w:rStyle w:val="Hyperlink"/>
            <w:rFonts w:ascii="Times New Roman" w:hAnsi="Times New Roman"/>
          </w:rPr>
          <w:t>[2009] VSC 552</w:t>
        </w:r>
      </w:hyperlink>
      <w:r>
        <w:t xml:space="preserve"> </w:t>
      </w:r>
      <w:r w:rsidRPr="00D70907">
        <w:rPr>
          <w:i/>
        </w:rPr>
        <w:t>Nolan v MBF Investments Pty Ltd</w:t>
      </w:r>
      <w:r w:rsidRPr="00D70907">
        <w:t xml:space="preserve"> </w:t>
      </w:r>
      <w:hyperlink r:id="rId28" w:tgtFrame="_parent" w:history="1">
        <w:r w:rsidRPr="00D70907">
          <w:rPr>
            <w:rStyle w:val="Hyperlink"/>
            <w:rFonts w:ascii="Times New Roman" w:hAnsi="Times New Roman"/>
          </w:rPr>
          <w:t>[2009] VSC 457</w:t>
        </w:r>
      </w:hyperlink>
      <w:r>
        <w:t xml:space="preserve">; </w:t>
      </w:r>
      <w:r w:rsidRPr="00D70907">
        <w:rPr>
          <w:i/>
        </w:rPr>
        <w:t>AWB Ltd (No 7), Re; Australian Securities and Investments Commission (ASIC) v Lindberg</w:t>
      </w:r>
      <w:r w:rsidRPr="00D70907">
        <w:t xml:space="preserve">  </w:t>
      </w:r>
      <w:hyperlink r:id="rId29" w:tgtFrame="_parent" w:history="1">
        <w:r w:rsidRPr="00D70907">
          <w:rPr>
            <w:rStyle w:val="Hyperlink"/>
            <w:rFonts w:ascii="Times New Roman" w:hAnsi="Times New Roman"/>
          </w:rPr>
          <w:t>[2009] VSC 413</w:t>
        </w:r>
      </w:hyperlink>
      <w:r>
        <w:t xml:space="preserve">; and  </w:t>
      </w:r>
      <w:r>
        <w:rPr>
          <w:i/>
        </w:rPr>
        <w:t>Heng v</w:t>
      </w:r>
      <w:r w:rsidRPr="00D70907">
        <w:rPr>
          <w:i/>
        </w:rPr>
        <w:t xml:space="preserve"> (Australia) Pty Ltd v Wang</w:t>
      </w:r>
      <w:r>
        <w:t xml:space="preserve"> [2009] FCA 922.</w:t>
      </w:r>
    </w:p>
  </w:footnote>
  <w:footnote w:id="27">
    <w:p w14:paraId="60C4DC41" w14:textId="77777777" w:rsidR="004722B0" w:rsidRPr="00445637" w:rsidRDefault="004722B0" w:rsidP="00764F85">
      <w:pPr>
        <w:pStyle w:val="FootnoteText"/>
        <w:ind w:left="0" w:firstLine="0"/>
      </w:pPr>
      <w:r>
        <w:rPr>
          <w:rStyle w:val="FootnoteReference"/>
        </w:rPr>
        <w:footnoteRef/>
      </w:r>
      <w:r>
        <w:t xml:space="preserve"> See also the </w:t>
      </w:r>
      <w:r>
        <w:rPr>
          <w:i/>
        </w:rPr>
        <w:t xml:space="preserve">Supreme Court Act 1986 </w:t>
      </w:r>
      <w:r>
        <w:t xml:space="preserve">(Vic) particularly s 29(2). </w:t>
      </w:r>
    </w:p>
  </w:footnote>
  <w:footnote w:id="28">
    <w:p w14:paraId="7B429A3A" w14:textId="77777777" w:rsidR="004722B0" w:rsidRDefault="004722B0" w:rsidP="00764F85">
      <w:pPr>
        <w:pStyle w:val="FootnoteText"/>
        <w:ind w:left="0" w:firstLine="0"/>
      </w:pPr>
      <w:r>
        <w:rPr>
          <w:rStyle w:val="FootnoteReference"/>
        </w:rPr>
        <w:footnoteRef/>
      </w:r>
      <w:r>
        <w:t xml:space="preserve"> See </w:t>
      </w:r>
      <w:r>
        <w:rPr>
          <w:i/>
        </w:rPr>
        <w:t xml:space="preserve">Green Book, </w:t>
      </w:r>
      <w:r>
        <w:t>Paragraph 2, pp. 3 and 4.</w:t>
      </w:r>
    </w:p>
  </w:footnote>
  <w:footnote w:id="29">
    <w:p w14:paraId="4523A37F" w14:textId="77777777" w:rsidR="004722B0" w:rsidRPr="001910F8" w:rsidRDefault="004722B0" w:rsidP="00764F85">
      <w:pPr>
        <w:pStyle w:val="FootnoteText"/>
        <w:ind w:left="0" w:firstLine="0"/>
      </w:pPr>
      <w:r>
        <w:rPr>
          <w:rStyle w:val="FootnoteReference"/>
        </w:rPr>
        <w:footnoteRef/>
      </w:r>
      <w:r>
        <w:t xml:space="preserve"> For further discussion of the importance of case management conferences see: The Hon. Justice Pagone, “The Role of the Modern Commercial Court”, a paper presented to the Supreme Court Law Conference on 12 November 2009, 3 and The Hon. Justice Davies, “Issues in case management – The case management conference” a paper presented at the Commercial Court CPD and CLE on</w:t>
      </w:r>
      <w:r w:rsidRPr="001910F8">
        <w:t xml:space="preserve"> 25 February 2010</w:t>
      </w:r>
      <w:r>
        <w:t>.</w:t>
      </w:r>
    </w:p>
  </w:footnote>
  <w:footnote w:id="30">
    <w:p w14:paraId="034425DE" w14:textId="77777777" w:rsidR="004722B0" w:rsidRPr="004D3737" w:rsidRDefault="004722B0" w:rsidP="00764F85">
      <w:pPr>
        <w:pStyle w:val="FootnoteText"/>
        <w:ind w:left="0" w:firstLine="0"/>
      </w:pPr>
      <w:r>
        <w:rPr>
          <w:rStyle w:val="FootnoteReference"/>
        </w:rPr>
        <w:footnoteRef/>
      </w:r>
      <w:r>
        <w:t xml:space="preserve"> For the circumstances in which this can occur see LexisNexis, </w:t>
      </w:r>
      <w:r>
        <w:rPr>
          <w:i/>
        </w:rPr>
        <w:t>Civil Procedure: Victoria</w:t>
      </w:r>
      <w:r>
        <w:t>, vol 1 (at service 225) [I 13.01.10].</w:t>
      </w:r>
    </w:p>
  </w:footnote>
  <w:footnote w:id="31">
    <w:p w14:paraId="686D6A3F" w14:textId="77777777" w:rsidR="004722B0" w:rsidRPr="000B0765" w:rsidRDefault="004722B0" w:rsidP="00764F85">
      <w:pPr>
        <w:pStyle w:val="FootnoteText"/>
        <w:ind w:left="0" w:firstLine="0"/>
      </w:pPr>
      <w:r>
        <w:rPr>
          <w:rStyle w:val="FootnoteReference"/>
        </w:rPr>
        <w:footnoteRef/>
      </w:r>
      <w:r>
        <w:t xml:space="preserve"> </w:t>
      </w:r>
      <w:r>
        <w:rPr>
          <w:i/>
        </w:rPr>
        <w:t xml:space="preserve">Gould v Mount Oxide Mines Ltd (in liq) </w:t>
      </w:r>
      <w:r>
        <w:t>(1916) 22 CLR 490 at 517 per Isaacs and Rich JJ.</w:t>
      </w:r>
    </w:p>
  </w:footnote>
  <w:footnote w:id="32">
    <w:p w14:paraId="4891E05C" w14:textId="77777777" w:rsidR="004722B0" w:rsidRPr="00445637" w:rsidRDefault="004722B0" w:rsidP="00764F85">
      <w:pPr>
        <w:pStyle w:val="FootnoteText"/>
        <w:ind w:left="0" w:firstLine="0"/>
      </w:pPr>
      <w:r>
        <w:rPr>
          <w:rStyle w:val="FootnoteReference"/>
        </w:rPr>
        <w:footnoteRef/>
      </w:r>
      <w:r>
        <w:t xml:space="preserve"> Found in r 501(a) of the</w:t>
      </w:r>
      <w:r>
        <w:rPr>
          <w:i/>
        </w:rPr>
        <w:t xml:space="preserve"> Court Procedure Rules 2006</w:t>
      </w:r>
      <w:r>
        <w:t xml:space="preserve"> (ACT)</w:t>
      </w:r>
    </w:p>
  </w:footnote>
  <w:footnote w:id="33">
    <w:p w14:paraId="1F59025D" w14:textId="77777777" w:rsidR="004722B0" w:rsidRPr="00445637" w:rsidRDefault="004722B0" w:rsidP="00764F85">
      <w:pPr>
        <w:pStyle w:val="FootnoteText"/>
        <w:ind w:left="0" w:firstLine="0"/>
        <w:rPr>
          <w:i/>
        </w:rPr>
      </w:pPr>
      <w:r>
        <w:rPr>
          <w:rStyle w:val="FootnoteReference"/>
        </w:rPr>
        <w:footnoteRef/>
      </w:r>
      <w:r>
        <w:t xml:space="preserve"> </w:t>
      </w:r>
      <w:r>
        <w:rPr>
          <w:i/>
        </w:rPr>
        <w:t xml:space="preserve">Aon </w:t>
      </w:r>
      <w:r>
        <w:t>(2009) 239 CLR 175 at 205.</w:t>
      </w:r>
    </w:p>
  </w:footnote>
  <w:footnote w:id="34">
    <w:p w14:paraId="34BC7491" w14:textId="77777777" w:rsidR="004722B0" w:rsidRDefault="004722B0" w:rsidP="00764F85">
      <w:pPr>
        <w:pStyle w:val="FootnoteText"/>
        <w:ind w:left="0" w:firstLine="0"/>
      </w:pPr>
      <w:r>
        <w:rPr>
          <w:rStyle w:val="FootnoteReference"/>
        </w:rPr>
        <w:footnoteRef/>
      </w:r>
      <w:r>
        <w:t xml:space="preserve"> Ibid.</w:t>
      </w:r>
    </w:p>
  </w:footnote>
  <w:footnote w:id="35">
    <w:p w14:paraId="3CD09CCB" w14:textId="77777777" w:rsidR="004722B0" w:rsidRDefault="004722B0" w:rsidP="00764F85">
      <w:pPr>
        <w:pStyle w:val="FootnoteText"/>
        <w:ind w:left="0" w:firstLine="0"/>
      </w:pPr>
      <w:r>
        <w:rPr>
          <w:rStyle w:val="FootnoteReference"/>
        </w:rPr>
        <w:footnoteRef/>
      </w:r>
      <w:r>
        <w:t xml:space="preserve"> Paragraph 2.4 of the Commercial Court “Green Book” where the parties undertake to approach their case co-operatively to achieve the “Court Objective”, to assist the Court in this respect and “not to use the resources of the Court and of the parties needlessly or in a manner that is out of proportion to the matters in issues” (see particularly, paragraphs 2.4.4, 2.4.5 and 2.4.6, p. 3).</w:t>
      </w:r>
    </w:p>
  </w:footnote>
  <w:footnote w:id="36">
    <w:p w14:paraId="2A1BE17A" w14:textId="77777777" w:rsidR="004722B0" w:rsidRDefault="004722B0" w:rsidP="00764F85">
      <w:pPr>
        <w:pStyle w:val="FootnoteText"/>
        <w:ind w:left="0" w:firstLine="0"/>
      </w:pPr>
      <w:r>
        <w:rPr>
          <w:rStyle w:val="FootnoteReference"/>
        </w:rPr>
        <w:footnoteRef/>
      </w:r>
      <w:r>
        <w:t xml:space="preserve"> </w:t>
      </w:r>
      <w:r>
        <w:rPr>
          <w:i/>
        </w:rPr>
        <w:t xml:space="preserve">Aon </w:t>
      </w:r>
      <w:r>
        <w:t xml:space="preserve">(2009) 239 CLR 175 at 182 and 192 per French CJ; at 215-216 and 218 per Gummow, Hayne, Crennan, Kiefel and </w:t>
      </w:r>
      <w:smartTag w:uri="urn:schemas-microsoft-com:office:smarttags" w:element="place">
        <w:smartTag w:uri="urn:schemas-microsoft-com:office:smarttags" w:element="City">
          <w:r>
            <w:t>Bell</w:t>
          </w:r>
        </w:smartTag>
      </w:smartTag>
      <w:r>
        <w:t xml:space="preserve"> JJ; at 228 per Heydon J.</w:t>
      </w:r>
    </w:p>
  </w:footnote>
  <w:footnote w:id="37">
    <w:p w14:paraId="0AA5D4F9" w14:textId="77777777" w:rsidR="004722B0" w:rsidRDefault="004722B0" w:rsidP="00764F85">
      <w:pPr>
        <w:pStyle w:val="FootnoteText"/>
        <w:ind w:left="0" w:firstLine="0"/>
      </w:pPr>
      <w:r>
        <w:rPr>
          <w:rStyle w:val="FootnoteReference"/>
        </w:rPr>
        <w:footnoteRef/>
      </w:r>
      <w:r>
        <w:t xml:space="preserve"> </w:t>
      </w:r>
      <w:r>
        <w:rPr>
          <w:i/>
        </w:rPr>
        <w:t xml:space="preserve">Aon </w:t>
      </w:r>
      <w:r>
        <w:t>(2009) 239 CLR 175 at 215.</w:t>
      </w:r>
    </w:p>
  </w:footnote>
  <w:footnote w:id="38">
    <w:p w14:paraId="16E80B28" w14:textId="77777777" w:rsidR="004722B0" w:rsidRDefault="004722B0" w:rsidP="00764F85">
      <w:pPr>
        <w:pStyle w:val="FootnoteText"/>
        <w:ind w:left="0" w:firstLine="0"/>
      </w:pPr>
      <w:r>
        <w:rPr>
          <w:rStyle w:val="FootnoteReference"/>
        </w:rPr>
        <w:footnoteRef/>
      </w:r>
      <w:r>
        <w:t xml:space="preserve"> Ibid 212.</w:t>
      </w:r>
    </w:p>
  </w:footnote>
  <w:footnote w:id="39">
    <w:p w14:paraId="5F00C7EF" w14:textId="77777777" w:rsidR="004722B0" w:rsidRDefault="004722B0" w:rsidP="00764F85">
      <w:pPr>
        <w:pStyle w:val="FootnoteText"/>
        <w:ind w:left="0" w:firstLine="0"/>
      </w:pPr>
      <w:r>
        <w:rPr>
          <w:rStyle w:val="FootnoteReference"/>
        </w:rPr>
        <w:footnoteRef/>
      </w:r>
      <w:r>
        <w:t xml:space="preserve"> </w:t>
      </w:r>
      <w:r w:rsidRPr="003C71CD">
        <w:rPr>
          <w:i/>
        </w:rPr>
        <w:t>JL Holdings Pty Ltd v Queensland &amp; Anor</w:t>
      </w:r>
      <w:r>
        <w:t xml:space="preserve"> [1996] FCA 779.</w:t>
      </w:r>
    </w:p>
  </w:footnote>
  <w:footnote w:id="40">
    <w:p w14:paraId="3C0303D3" w14:textId="77777777" w:rsidR="004722B0" w:rsidRDefault="004722B0" w:rsidP="00764F85">
      <w:pPr>
        <w:pStyle w:val="FootnoteText"/>
        <w:ind w:left="0" w:firstLine="0"/>
      </w:pPr>
      <w:r>
        <w:rPr>
          <w:rStyle w:val="FootnoteReference"/>
        </w:rPr>
        <w:footnoteRef/>
      </w:r>
      <w:r>
        <w:t xml:space="preserve"> </w:t>
      </w:r>
      <w:r>
        <w:rPr>
          <w:i/>
        </w:rPr>
        <w:t xml:space="preserve">Aon </w:t>
      </w:r>
      <w:r>
        <w:t>(2009) 239 CLR 175 at 215.</w:t>
      </w:r>
    </w:p>
  </w:footnote>
  <w:footnote w:id="41">
    <w:p w14:paraId="5AB693FC" w14:textId="77777777" w:rsidR="004722B0" w:rsidRDefault="004722B0" w:rsidP="00764F85">
      <w:pPr>
        <w:pStyle w:val="FootnoteText"/>
        <w:ind w:left="0" w:firstLine="0"/>
      </w:pPr>
      <w:r>
        <w:rPr>
          <w:rStyle w:val="FootnoteReference"/>
        </w:rPr>
        <w:footnoteRef/>
      </w:r>
      <w:r>
        <w:t xml:space="preserve"> Ibid 192.</w:t>
      </w:r>
    </w:p>
  </w:footnote>
  <w:footnote w:id="42">
    <w:p w14:paraId="29581EB0" w14:textId="77777777" w:rsidR="004722B0" w:rsidRPr="00077EA0" w:rsidRDefault="004722B0" w:rsidP="00764F85">
      <w:pPr>
        <w:pStyle w:val="FootnoteText"/>
        <w:ind w:left="0" w:firstLine="0"/>
      </w:pPr>
      <w:r w:rsidRPr="00077EA0">
        <w:rPr>
          <w:rStyle w:val="FootnoteReference"/>
        </w:rPr>
        <w:footnoteRef/>
      </w:r>
      <w:r w:rsidRPr="00077EA0">
        <w:t xml:space="preserve"> </w:t>
      </w:r>
      <w:r>
        <w:t xml:space="preserve">The Hon. Ronald Sackville AO, “The future of case management in litigation”, (2009) 18 </w:t>
      </w:r>
      <w:r>
        <w:rPr>
          <w:i/>
        </w:rPr>
        <w:t xml:space="preserve">Journal of Judicial </w:t>
      </w:r>
      <w:r w:rsidRPr="00077EA0">
        <w:rPr>
          <w:i/>
        </w:rPr>
        <w:t>Administration</w:t>
      </w:r>
      <w:r>
        <w:t xml:space="preserve"> 211, </w:t>
      </w:r>
      <w:r w:rsidRPr="00077EA0">
        <w:t>217</w:t>
      </w:r>
      <w:r>
        <w:t>.</w:t>
      </w:r>
    </w:p>
  </w:footnote>
  <w:footnote w:id="43">
    <w:p w14:paraId="349E0E3F" w14:textId="77777777" w:rsidR="004722B0" w:rsidRPr="007F049B" w:rsidRDefault="004722B0" w:rsidP="00764F85">
      <w:pPr>
        <w:pStyle w:val="FootnoteText"/>
        <w:ind w:left="0" w:firstLine="0"/>
        <w:rPr>
          <w:highlight w:val="yellow"/>
        </w:rPr>
      </w:pPr>
      <w:r w:rsidRPr="00385F39">
        <w:rPr>
          <w:rStyle w:val="FootnoteReference"/>
        </w:rPr>
        <w:footnoteRef/>
      </w:r>
      <w:r w:rsidRPr="00385F39">
        <w:t xml:space="preserve"> Z</w:t>
      </w:r>
      <w:r w:rsidRPr="004F64EE">
        <w:t xml:space="preserve">uckerman, </w:t>
      </w:r>
      <w:r>
        <w:t>above n 20</w:t>
      </w:r>
      <w:r w:rsidRPr="000A6972">
        <w:t xml:space="preserve">, </w:t>
      </w:r>
      <w:r>
        <w:rPr>
          <w:lang w:val="en-US"/>
        </w:rPr>
        <w:t>94.</w:t>
      </w:r>
    </w:p>
  </w:footnote>
  <w:footnote w:id="44">
    <w:p w14:paraId="2E95453A" w14:textId="77777777" w:rsidR="004722B0" w:rsidRPr="007F049B" w:rsidRDefault="004722B0" w:rsidP="00764F85">
      <w:pPr>
        <w:pStyle w:val="FootnoteText"/>
        <w:ind w:left="0" w:firstLine="0"/>
        <w:rPr>
          <w:highlight w:val="yellow"/>
        </w:rPr>
      </w:pPr>
      <w:r w:rsidRPr="00F30B39">
        <w:rPr>
          <w:rStyle w:val="FootnoteReference"/>
        </w:rPr>
        <w:footnoteRef/>
      </w:r>
      <w:r w:rsidRPr="00F30B39">
        <w:t xml:space="preserve"> The Hon. Justice Pagone, above n 8, 12.</w:t>
      </w:r>
    </w:p>
  </w:footnote>
  <w:footnote w:id="45">
    <w:p w14:paraId="2F8DA0B5" w14:textId="77777777" w:rsidR="004722B0" w:rsidRPr="00CF6F10" w:rsidRDefault="004722B0" w:rsidP="00764F85">
      <w:pPr>
        <w:pStyle w:val="FootnoteText"/>
        <w:ind w:left="0" w:firstLine="0"/>
      </w:pPr>
      <w:r w:rsidRPr="00F35670">
        <w:rPr>
          <w:rStyle w:val="FootnoteReference"/>
        </w:rPr>
        <w:footnoteRef/>
      </w:r>
      <w:r w:rsidRPr="00F35670">
        <w:t xml:space="preserve"> The Hon. Justice Byrne, “Promoting the efficient, thorough and ethical resolution of commercial disputes: A judicial perspective” a paper presented at the LexisNexis Commercial Litigation Conferen</w:t>
      </w:r>
      <w:r w:rsidRPr="00CF6F10">
        <w:t xml:space="preserve">ce, </w:t>
      </w:r>
      <w:smartTag w:uri="urn:schemas-microsoft-com:office:smarttags" w:element="City">
        <w:smartTag w:uri="urn:schemas-microsoft-com:office:smarttags" w:element="place">
          <w:r w:rsidRPr="00CF6F10">
            <w:t>Melbourne</w:t>
          </w:r>
        </w:smartTag>
      </w:smartTag>
      <w:r w:rsidRPr="00CF6F10">
        <w:t xml:space="preserve"> on 20 April 2005, p 2.</w:t>
      </w:r>
    </w:p>
  </w:footnote>
  <w:footnote w:id="46">
    <w:p w14:paraId="675B030A" w14:textId="77777777" w:rsidR="004722B0" w:rsidRPr="00A1401D" w:rsidRDefault="004722B0" w:rsidP="00764F85">
      <w:pPr>
        <w:pStyle w:val="FootnoteText"/>
        <w:ind w:left="0" w:firstLine="0"/>
        <w:rPr>
          <w:highlight w:val="yellow"/>
        </w:rPr>
      </w:pPr>
      <w:r w:rsidRPr="00CF6F10">
        <w:rPr>
          <w:rStyle w:val="FootnoteReference"/>
        </w:rPr>
        <w:footnoteRef/>
      </w:r>
      <w:r w:rsidRPr="00CF6F10">
        <w:t xml:space="preserve"> The Hon. Michael Black AC, “The role of the judge in attacking endemic delays: Some lessons from Fast Track” (2009) 19 </w:t>
      </w:r>
      <w:r w:rsidRPr="00CF6F10">
        <w:rPr>
          <w:i/>
        </w:rPr>
        <w:t>Journal of Judicial Administration</w:t>
      </w:r>
      <w:r w:rsidRPr="00CF6F10">
        <w:t xml:space="preserve"> 88, 91.</w:t>
      </w:r>
    </w:p>
  </w:footnote>
  <w:footnote w:id="47">
    <w:p w14:paraId="299074D2" w14:textId="77777777" w:rsidR="004722B0" w:rsidRPr="00D4282C" w:rsidRDefault="004722B0" w:rsidP="00764F85">
      <w:pPr>
        <w:pStyle w:val="FootnoteText"/>
        <w:ind w:left="0" w:firstLine="0"/>
      </w:pPr>
      <w:r>
        <w:rPr>
          <w:rStyle w:val="FootnoteReference"/>
        </w:rPr>
        <w:footnoteRef/>
      </w:r>
      <w:r>
        <w:t xml:space="preserve"> The introduction of the Bill followed a significant reform process, see </w:t>
      </w:r>
      <w:r>
        <w:rPr>
          <w:i/>
        </w:rPr>
        <w:t>Victorian Law Reform Commission</w:t>
      </w:r>
      <w:r>
        <w:t xml:space="preserve">, </w:t>
      </w:r>
      <w:r>
        <w:rPr>
          <w:i/>
        </w:rPr>
        <w:t xml:space="preserve">Civil Justice Review, </w:t>
      </w:r>
      <w:r>
        <w:t xml:space="preserve">Report 14 (2008). The Right Honourable Lord Justice Jackson’s Final Report - </w:t>
      </w:r>
      <w:r>
        <w:rPr>
          <w:i/>
        </w:rPr>
        <w:t>Review of Civil Litigation Costs</w:t>
      </w:r>
      <w:r>
        <w:t xml:space="preserve"> (2009) also provided guidance, especially in relation to pre-action protocols.</w:t>
      </w:r>
    </w:p>
  </w:footnote>
  <w:footnote w:id="48">
    <w:p w14:paraId="25DE5C21" w14:textId="77777777" w:rsidR="004722B0" w:rsidRPr="00A1401D" w:rsidRDefault="004722B0" w:rsidP="00764F85">
      <w:pPr>
        <w:pStyle w:val="FootnoteText"/>
        <w:ind w:left="0" w:firstLine="0"/>
        <w:rPr>
          <w:highlight w:val="yellow"/>
        </w:rPr>
      </w:pPr>
      <w:r w:rsidRPr="00F85B52">
        <w:rPr>
          <w:rStyle w:val="FootnoteReference"/>
        </w:rPr>
        <w:footnoteRef/>
      </w:r>
      <w:r w:rsidRPr="00F85B52">
        <w:t xml:space="preserve"> V</w:t>
      </w:r>
      <w:r>
        <w:t xml:space="preserve">ictoria, </w:t>
      </w:r>
      <w:r>
        <w:rPr>
          <w:i/>
        </w:rPr>
        <w:t xml:space="preserve">Parliamentary </w:t>
      </w:r>
      <w:r w:rsidRPr="0037169B">
        <w:rPr>
          <w:i/>
        </w:rPr>
        <w:t>Debates</w:t>
      </w:r>
      <w:r>
        <w:t>, Legislative Assembly, 24 June 2010, 2607, Mr Hulls</w:t>
      </w:r>
      <w:r w:rsidRPr="0037169B">
        <w:t xml:space="preserve"> (Attorney-General)</w:t>
      </w:r>
      <w:r>
        <w:t>.</w:t>
      </w:r>
    </w:p>
  </w:footnote>
  <w:footnote w:id="49">
    <w:p w14:paraId="5E812E89" w14:textId="77777777" w:rsidR="004722B0" w:rsidRPr="00CF6F10" w:rsidRDefault="004722B0" w:rsidP="00764F85">
      <w:pPr>
        <w:pStyle w:val="FootnoteText"/>
        <w:ind w:left="0" w:firstLine="0"/>
      </w:pPr>
      <w:r w:rsidRPr="00077EA0">
        <w:rPr>
          <w:rStyle w:val="FootnoteReference"/>
        </w:rPr>
        <w:footnoteRef/>
      </w:r>
      <w:r w:rsidRPr="00077EA0">
        <w:t xml:space="preserve"> </w:t>
      </w:r>
      <w:r w:rsidRPr="00CF6F10">
        <w:t xml:space="preserve">The Hon. Ronald Sackville AO, “The future of case management in litigation”, (2009) 18 </w:t>
      </w:r>
      <w:r w:rsidRPr="00CF6F10">
        <w:rPr>
          <w:i/>
        </w:rPr>
        <w:t>Journal of Judicial Administration</w:t>
      </w:r>
      <w:r w:rsidRPr="00CF6F10">
        <w:t xml:space="preserve"> 211, 217.</w:t>
      </w:r>
    </w:p>
  </w:footnote>
  <w:footnote w:id="50">
    <w:p w14:paraId="1CE321BA" w14:textId="77777777" w:rsidR="004722B0" w:rsidRDefault="004722B0" w:rsidP="00764F85">
      <w:pPr>
        <w:pStyle w:val="FootnoteText"/>
        <w:ind w:left="0" w:firstLine="0"/>
      </w:pPr>
      <w:r w:rsidRPr="00CF6F10">
        <w:rPr>
          <w:rStyle w:val="FootnoteReference"/>
        </w:rPr>
        <w:footnoteRef/>
      </w:r>
      <w:r w:rsidRPr="00CF6F10">
        <w:t xml:space="preserve"> The Hon. Michael Black AC, “The role of the judge in attacking endemic delays: Some lessons from Fast Track” (2009) 19 </w:t>
      </w:r>
      <w:r w:rsidRPr="00CF6F10">
        <w:rPr>
          <w:i/>
        </w:rPr>
        <w:t>Journal of Judicial Administration</w:t>
      </w:r>
      <w:r w:rsidRPr="00CF6F10">
        <w:t xml:space="preserve"> 88, 92-3</w:t>
      </w:r>
      <w:r>
        <w:t>.</w:t>
      </w:r>
    </w:p>
  </w:footnote>
  <w:footnote w:id="51">
    <w:p w14:paraId="50919BE2" w14:textId="77777777" w:rsidR="004722B0" w:rsidRDefault="004722B0" w:rsidP="00764F85">
      <w:pPr>
        <w:pStyle w:val="FootnoteText"/>
        <w:ind w:left="0" w:firstLine="0"/>
      </w:pPr>
      <w:r>
        <w:rPr>
          <w:rStyle w:val="FootnoteReference"/>
        </w:rPr>
        <w:footnoteRef/>
      </w:r>
      <w:r>
        <w:t xml:space="preserve"> Victoria, </w:t>
      </w:r>
      <w:r>
        <w:rPr>
          <w:i/>
        </w:rPr>
        <w:t xml:space="preserve">Parliamentary </w:t>
      </w:r>
      <w:r w:rsidRPr="0037169B">
        <w:rPr>
          <w:i/>
        </w:rPr>
        <w:t>Debates</w:t>
      </w:r>
      <w:r>
        <w:t>, Legislative Assembly, 24 June 2010, 2608, Mr Hulls</w:t>
      </w:r>
      <w:r w:rsidRPr="0037169B">
        <w:t xml:space="preserve"> (Attorney-General)</w:t>
      </w:r>
      <w:r>
        <w:t>.</w:t>
      </w:r>
    </w:p>
  </w:footnote>
  <w:footnote w:id="52">
    <w:p w14:paraId="7D161998" w14:textId="77777777" w:rsidR="004722B0" w:rsidRDefault="004722B0" w:rsidP="00764F85">
      <w:pPr>
        <w:pStyle w:val="FootnoteText"/>
        <w:ind w:hanging="1440"/>
      </w:pPr>
      <w:r>
        <w:rPr>
          <w:rStyle w:val="FootnoteReference"/>
        </w:rPr>
        <w:footnoteRef/>
      </w:r>
      <w:r>
        <w:t xml:space="preserve"> </w:t>
      </w:r>
      <w:r>
        <w:rPr>
          <w:i/>
        </w:rPr>
        <w:t>Civil Procedure Bill 2010</w:t>
      </w:r>
      <w:r>
        <w:t xml:space="preserve"> (Vic), clauses 8 and 9.</w:t>
      </w:r>
    </w:p>
  </w:footnote>
  <w:footnote w:id="53">
    <w:p w14:paraId="53E0DD05" w14:textId="77777777" w:rsidR="004722B0" w:rsidRDefault="004722B0" w:rsidP="00764F85">
      <w:pPr>
        <w:pStyle w:val="FootnoteText"/>
        <w:ind w:left="0" w:firstLine="0"/>
      </w:pPr>
      <w:r>
        <w:rPr>
          <w:rStyle w:val="FootnoteReference"/>
        </w:rPr>
        <w:footnoteRef/>
      </w:r>
      <w:r>
        <w:t xml:space="preserve"> Ibid 2609.</w:t>
      </w:r>
    </w:p>
  </w:footnote>
  <w:footnote w:id="54">
    <w:p w14:paraId="748BEBF2" w14:textId="77777777" w:rsidR="004722B0" w:rsidRDefault="004722B0" w:rsidP="00764F85">
      <w:pPr>
        <w:pStyle w:val="FootnoteText"/>
        <w:ind w:left="0" w:firstLine="0"/>
      </w:pPr>
      <w:r>
        <w:rPr>
          <w:rStyle w:val="FootnoteReference"/>
        </w:rPr>
        <w:footnoteRef/>
      </w:r>
      <w:r>
        <w:t xml:space="preserve"> Ibid 2610 and see </w:t>
      </w:r>
      <w:r>
        <w:rPr>
          <w:i/>
        </w:rPr>
        <w:t>Civil Procedure Bill 2010</w:t>
      </w:r>
      <w:r>
        <w:t xml:space="preserve"> (Vic) clause 32(1)(e). </w:t>
      </w:r>
    </w:p>
  </w:footnote>
  <w:footnote w:id="55">
    <w:p w14:paraId="36E788AB" w14:textId="77777777" w:rsidR="004722B0" w:rsidRDefault="004722B0" w:rsidP="00764F85">
      <w:pPr>
        <w:pStyle w:val="FootnoteText"/>
        <w:ind w:left="0" w:firstLine="0"/>
      </w:pPr>
      <w:r>
        <w:rPr>
          <w:rStyle w:val="FootnoteReference"/>
        </w:rPr>
        <w:footnoteRef/>
      </w:r>
      <w:r>
        <w:t xml:space="preserve"> </w:t>
      </w:r>
      <w:r w:rsidRPr="00496B90">
        <w:t xml:space="preserve">Professor </w:t>
      </w:r>
      <w:r w:rsidRPr="00496B90">
        <w:rPr>
          <w:bCs/>
        </w:rPr>
        <w:t>Camille Cameron, “</w:t>
      </w:r>
      <w:r w:rsidRPr="00496B90">
        <w:rPr>
          <w:rFonts w:eastAsia="TimesNewRomanPSMT"/>
        </w:rPr>
        <w:t xml:space="preserve">New Directions for Case Management in </w:t>
      </w:r>
      <w:smartTag w:uri="urn:schemas-microsoft-com:office:smarttags" w:element="place">
        <w:smartTag w:uri="urn:schemas-microsoft-com:office:smarttags" w:element="country-region">
          <w:r w:rsidRPr="00496B90">
            <w:rPr>
              <w:rFonts w:eastAsia="TimesNewRomanPSMT"/>
            </w:rPr>
            <w:t>Australia</w:t>
          </w:r>
        </w:smartTag>
      </w:smartTag>
      <w:r w:rsidRPr="00496B90">
        <w:rPr>
          <w:rFonts w:eastAsia="TimesNewRomanPSMT"/>
        </w:rPr>
        <w:t xml:space="preserve">” (2010) 3 </w:t>
      </w:r>
      <w:r w:rsidRPr="00496B90">
        <w:rPr>
          <w:rFonts w:eastAsia="TimesNewRomanPSMT"/>
          <w:i/>
        </w:rPr>
        <w:t>Civil Justice Quarterly</w:t>
      </w:r>
      <w:r w:rsidRPr="00496B90">
        <w:rPr>
          <w:rFonts w:eastAsia="TimesNewRomanPSMT"/>
        </w:rPr>
        <w:t xml:space="preserve"> 337, 345</w:t>
      </w:r>
      <w:r w:rsidRPr="00496B90">
        <w:t>.</w:t>
      </w:r>
    </w:p>
  </w:footnote>
  <w:footnote w:id="56">
    <w:p w14:paraId="6B72D55F" w14:textId="77777777" w:rsidR="004722B0" w:rsidRDefault="004722B0" w:rsidP="00764F85">
      <w:pPr>
        <w:pStyle w:val="FootnoteText"/>
        <w:ind w:left="0" w:firstLine="0"/>
      </w:pPr>
      <w:r>
        <w:rPr>
          <w:rStyle w:val="FootnoteReference"/>
        </w:rPr>
        <w:footnoteRef/>
      </w:r>
      <w:r>
        <w:t xml:space="preserve"> A.A.S. Zuckerman, “Reform in the Shadow of Lawyers’ Interests” in A.A.S. Zuckerman</w:t>
      </w:r>
      <w:r w:rsidDel="0002117D">
        <w:t xml:space="preserve"> </w:t>
      </w:r>
      <w:r>
        <w:t>and Ross Cranston (eds),</w:t>
      </w:r>
      <w:r>
        <w:rPr>
          <w:i/>
        </w:rPr>
        <w:t xml:space="preserve"> Reform of Civil Procedure – Essays on ‘Access to Justice”</w:t>
      </w:r>
      <w:r>
        <w:t xml:space="preserve"> (Clarendon Press, 1995) 61, 62-67.</w:t>
      </w:r>
    </w:p>
  </w:footnote>
  <w:footnote w:id="57">
    <w:p w14:paraId="2F7081C4" w14:textId="77777777" w:rsidR="004722B0" w:rsidRDefault="004722B0" w:rsidP="00764F85">
      <w:pPr>
        <w:pStyle w:val="FootnoteText"/>
        <w:ind w:left="0" w:firstLine="0"/>
      </w:pPr>
      <w:r>
        <w:rPr>
          <w:rStyle w:val="FootnoteReference"/>
        </w:rPr>
        <w:footnoteRef/>
      </w:r>
      <w:r>
        <w:t xml:space="preserve"> Ibid 68.</w:t>
      </w:r>
    </w:p>
  </w:footnote>
  <w:footnote w:id="58">
    <w:p w14:paraId="0A2F178B" w14:textId="77777777" w:rsidR="004722B0" w:rsidRPr="00005625" w:rsidRDefault="004722B0" w:rsidP="004722B0">
      <w:pPr>
        <w:keepNext/>
        <w:spacing w:line="240" w:lineRule="auto"/>
        <w:rPr>
          <w:sz w:val="20"/>
          <w:szCs w:val="20"/>
        </w:rPr>
      </w:pPr>
      <w:r w:rsidRPr="00005625">
        <w:rPr>
          <w:rStyle w:val="FootnoteReference"/>
          <w:sz w:val="20"/>
          <w:szCs w:val="20"/>
        </w:rPr>
        <w:footnoteRef/>
      </w:r>
      <w:r w:rsidRPr="00005625">
        <w:rPr>
          <w:sz w:val="20"/>
          <w:szCs w:val="20"/>
        </w:rPr>
        <w:t xml:space="preserve"> Ibid 69 and 73.</w:t>
      </w:r>
    </w:p>
  </w:footnote>
  <w:footnote w:id="59">
    <w:p w14:paraId="4BA6F315" w14:textId="77777777" w:rsidR="004722B0" w:rsidRPr="00005625" w:rsidRDefault="004722B0" w:rsidP="004722B0">
      <w:pPr>
        <w:keepNext/>
        <w:spacing w:line="240" w:lineRule="auto"/>
        <w:rPr>
          <w:sz w:val="20"/>
          <w:szCs w:val="20"/>
        </w:rPr>
      </w:pPr>
      <w:r w:rsidRPr="00005625">
        <w:rPr>
          <w:rStyle w:val="FootnoteReference"/>
          <w:sz w:val="20"/>
          <w:szCs w:val="20"/>
        </w:rPr>
        <w:footnoteRef/>
      </w:r>
      <w:r w:rsidRPr="00005625">
        <w:rPr>
          <w:sz w:val="20"/>
          <w:szCs w:val="20"/>
        </w:rPr>
        <w:t xml:space="preserve"> Doubts about the efficiency of tim</w:t>
      </w:r>
      <w:r>
        <w:rPr>
          <w:sz w:val="20"/>
          <w:szCs w:val="20"/>
        </w:rPr>
        <w:t>e billing are well known, see, eg,</w:t>
      </w:r>
      <w:r w:rsidRPr="00005625">
        <w:rPr>
          <w:sz w:val="20"/>
          <w:szCs w:val="20"/>
        </w:rPr>
        <w:t xml:space="preserve"> The Hon J J Spigelman</w:t>
      </w:r>
      <w:r>
        <w:rPr>
          <w:sz w:val="20"/>
          <w:szCs w:val="20"/>
        </w:rPr>
        <w:t xml:space="preserve"> AC</w:t>
      </w:r>
      <w:r w:rsidRPr="00005625">
        <w:rPr>
          <w:sz w:val="20"/>
          <w:szCs w:val="20"/>
        </w:rPr>
        <w:t>, Chief Justic</w:t>
      </w:r>
      <w:r>
        <w:rPr>
          <w:sz w:val="20"/>
          <w:szCs w:val="20"/>
        </w:rPr>
        <w:t>e of the Supreme Court of NSW, “Opening of the Law Term 2004”</w:t>
      </w:r>
      <w:r w:rsidRPr="00005625">
        <w:rPr>
          <w:sz w:val="20"/>
          <w:szCs w:val="20"/>
        </w:rPr>
        <w:t xml:space="preserve"> (Speech delivered at the Opening of the Law Term Dinner, Sydney, 2 February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49F1" w14:textId="11E94B66" w:rsidR="003901ED" w:rsidRDefault="008359CC" w:rsidP="003E023A">
    <w:pPr>
      <w:pStyle w:val="Header"/>
    </w:pPr>
    <w:r>
      <w:rPr>
        <w:noProof/>
        <w:lang w:eastAsia="en-AU"/>
      </w:rPr>
      <w:drawing>
        <wp:anchor distT="0" distB="0" distL="114300" distR="114300" simplePos="0" relativeHeight="251657728" behindDoc="0" locked="0" layoutInCell="1" allowOverlap="1" wp14:anchorId="1C597F8F" wp14:editId="02D3C997">
          <wp:simplePos x="0" y="0"/>
          <wp:positionH relativeFrom="column">
            <wp:posOffset>2400300</wp:posOffset>
          </wp:positionH>
          <wp:positionV relativeFrom="paragraph">
            <wp:posOffset>-1050290</wp:posOffset>
          </wp:positionV>
          <wp:extent cx="1419225" cy="1266825"/>
          <wp:effectExtent l="0" t="0" r="0" b="0"/>
          <wp:wrapNone/>
          <wp:docPr id="1" name="Picture 1"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D495E" w14:textId="77777777" w:rsidR="003F6AFE" w:rsidRDefault="003F6AFE" w:rsidP="003E02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8622B28"/>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15:restartNumberingAfterBreak="0">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15:restartNumberingAfterBreak="0">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2DF60B1"/>
    <w:multiLevelType w:val="singleLevel"/>
    <w:tmpl w:val="F0825DD4"/>
    <w:lvl w:ilvl="0">
      <w:start w:val="1"/>
      <w:numFmt w:val="decimal"/>
      <w:pStyle w:val="Footer-Web"/>
      <w:lvlText w:val="%1"/>
      <w:lvlJc w:val="left"/>
      <w:pPr>
        <w:tabs>
          <w:tab w:val="num" w:pos="360"/>
        </w:tabs>
        <w:ind w:left="0" w:firstLine="0"/>
      </w:pPr>
      <w:rPr>
        <w:sz w:val="20"/>
      </w:rPr>
    </w:lvl>
  </w:abstractNum>
  <w:abstractNum w:abstractNumId="5" w15:restartNumberingAfterBreak="0">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6" w15:restartNumberingAfterBreak="0">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7" w15:restartNumberingAfterBreak="0">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E635B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4"/>
  </w:num>
  <w:num w:numId="6">
    <w:abstractNumId w:val="6"/>
  </w:num>
  <w:num w:numId="7">
    <w:abstractNumId w:val="1"/>
  </w:num>
  <w:num w:numId="8">
    <w:abstractNumId w:val="8"/>
  </w:num>
  <w:num w:numId="9">
    <w:abstractNumId w:val="5"/>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42"/>
    <w:rsid w:val="000022B3"/>
    <w:rsid w:val="00002301"/>
    <w:rsid w:val="00002CCA"/>
    <w:rsid w:val="00004293"/>
    <w:rsid w:val="0000465A"/>
    <w:rsid w:val="00007188"/>
    <w:rsid w:val="0000768C"/>
    <w:rsid w:val="000108E4"/>
    <w:rsid w:val="00011883"/>
    <w:rsid w:val="000118EE"/>
    <w:rsid w:val="000127BF"/>
    <w:rsid w:val="000131BC"/>
    <w:rsid w:val="000147B4"/>
    <w:rsid w:val="00014A1C"/>
    <w:rsid w:val="00014B9A"/>
    <w:rsid w:val="000150BA"/>
    <w:rsid w:val="00022C89"/>
    <w:rsid w:val="000231DE"/>
    <w:rsid w:val="00023634"/>
    <w:rsid w:val="00026625"/>
    <w:rsid w:val="000318D1"/>
    <w:rsid w:val="00032C81"/>
    <w:rsid w:val="00036530"/>
    <w:rsid w:val="00041508"/>
    <w:rsid w:val="00045527"/>
    <w:rsid w:val="000455A7"/>
    <w:rsid w:val="00047034"/>
    <w:rsid w:val="0005395B"/>
    <w:rsid w:val="00054E69"/>
    <w:rsid w:val="0005536F"/>
    <w:rsid w:val="00055415"/>
    <w:rsid w:val="00056D3A"/>
    <w:rsid w:val="000578E7"/>
    <w:rsid w:val="00061B51"/>
    <w:rsid w:val="0006459F"/>
    <w:rsid w:val="00064EA4"/>
    <w:rsid w:val="0007531E"/>
    <w:rsid w:val="0007796E"/>
    <w:rsid w:val="00077BB9"/>
    <w:rsid w:val="000809EB"/>
    <w:rsid w:val="00086C1D"/>
    <w:rsid w:val="0009142B"/>
    <w:rsid w:val="00093928"/>
    <w:rsid w:val="00093AD2"/>
    <w:rsid w:val="000953A1"/>
    <w:rsid w:val="00096B59"/>
    <w:rsid w:val="000979C7"/>
    <w:rsid w:val="000A01C4"/>
    <w:rsid w:val="000A13F3"/>
    <w:rsid w:val="000A1620"/>
    <w:rsid w:val="000A27E3"/>
    <w:rsid w:val="000A4E5F"/>
    <w:rsid w:val="000A5224"/>
    <w:rsid w:val="000B08B7"/>
    <w:rsid w:val="000B153D"/>
    <w:rsid w:val="000B1E41"/>
    <w:rsid w:val="000B2EB1"/>
    <w:rsid w:val="000B6085"/>
    <w:rsid w:val="000B608C"/>
    <w:rsid w:val="000B6233"/>
    <w:rsid w:val="000C08BD"/>
    <w:rsid w:val="000C22D2"/>
    <w:rsid w:val="000C27B4"/>
    <w:rsid w:val="000C4D52"/>
    <w:rsid w:val="000C570E"/>
    <w:rsid w:val="000C6366"/>
    <w:rsid w:val="000C7851"/>
    <w:rsid w:val="000C78D2"/>
    <w:rsid w:val="000D0EDA"/>
    <w:rsid w:val="000D0EDC"/>
    <w:rsid w:val="000D36C7"/>
    <w:rsid w:val="000D42F1"/>
    <w:rsid w:val="000D5857"/>
    <w:rsid w:val="000D6F27"/>
    <w:rsid w:val="000E0768"/>
    <w:rsid w:val="000E0BD5"/>
    <w:rsid w:val="000E18F2"/>
    <w:rsid w:val="000E273C"/>
    <w:rsid w:val="000E2880"/>
    <w:rsid w:val="000E2D9B"/>
    <w:rsid w:val="000E703C"/>
    <w:rsid w:val="000E7C64"/>
    <w:rsid w:val="000F091E"/>
    <w:rsid w:val="000F332D"/>
    <w:rsid w:val="000F3468"/>
    <w:rsid w:val="000F52C6"/>
    <w:rsid w:val="000F770D"/>
    <w:rsid w:val="000F7FE4"/>
    <w:rsid w:val="00100128"/>
    <w:rsid w:val="00100990"/>
    <w:rsid w:val="00103319"/>
    <w:rsid w:val="00104C56"/>
    <w:rsid w:val="00104D85"/>
    <w:rsid w:val="00104EA7"/>
    <w:rsid w:val="00105DC3"/>
    <w:rsid w:val="00105DE5"/>
    <w:rsid w:val="0010787B"/>
    <w:rsid w:val="00110BB9"/>
    <w:rsid w:val="00111116"/>
    <w:rsid w:val="00114C87"/>
    <w:rsid w:val="00114F02"/>
    <w:rsid w:val="001224A9"/>
    <w:rsid w:val="00122FFF"/>
    <w:rsid w:val="00124B13"/>
    <w:rsid w:val="00125358"/>
    <w:rsid w:val="00126514"/>
    <w:rsid w:val="001275D1"/>
    <w:rsid w:val="0012772E"/>
    <w:rsid w:val="00127F21"/>
    <w:rsid w:val="00130102"/>
    <w:rsid w:val="00130B57"/>
    <w:rsid w:val="00131BCD"/>
    <w:rsid w:val="00131FA7"/>
    <w:rsid w:val="0013313A"/>
    <w:rsid w:val="001354AC"/>
    <w:rsid w:val="00136F8D"/>
    <w:rsid w:val="00142BCF"/>
    <w:rsid w:val="00142F2E"/>
    <w:rsid w:val="0014499C"/>
    <w:rsid w:val="00146384"/>
    <w:rsid w:val="00146607"/>
    <w:rsid w:val="00147FDE"/>
    <w:rsid w:val="00150D7D"/>
    <w:rsid w:val="001512D2"/>
    <w:rsid w:val="00152165"/>
    <w:rsid w:val="0015433A"/>
    <w:rsid w:val="00156150"/>
    <w:rsid w:val="001564F4"/>
    <w:rsid w:val="00156E68"/>
    <w:rsid w:val="0015715C"/>
    <w:rsid w:val="0016010F"/>
    <w:rsid w:val="0016066F"/>
    <w:rsid w:val="00163243"/>
    <w:rsid w:val="00163421"/>
    <w:rsid w:val="00163B3B"/>
    <w:rsid w:val="00164B05"/>
    <w:rsid w:val="00164EAC"/>
    <w:rsid w:val="0016722E"/>
    <w:rsid w:val="0017595A"/>
    <w:rsid w:val="00175F89"/>
    <w:rsid w:val="00181201"/>
    <w:rsid w:val="00181EFE"/>
    <w:rsid w:val="00182850"/>
    <w:rsid w:val="00183657"/>
    <w:rsid w:val="00183766"/>
    <w:rsid w:val="001841D9"/>
    <w:rsid w:val="001851A6"/>
    <w:rsid w:val="0018698F"/>
    <w:rsid w:val="00186B57"/>
    <w:rsid w:val="00186DD8"/>
    <w:rsid w:val="00187A5D"/>
    <w:rsid w:val="0019082D"/>
    <w:rsid w:val="001929BF"/>
    <w:rsid w:val="00194D34"/>
    <w:rsid w:val="00195CC4"/>
    <w:rsid w:val="00196C49"/>
    <w:rsid w:val="001A1C8B"/>
    <w:rsid w:val="001A2A87"/>
    <w:rsid w:val="001A43D0"/>
    <w:rsid w:val="001A48B1"/>
    <w:rsid w:val="001A5CD5"/>
    <w:rsid w:val="001A5F5D"/>
    <w:rsid w:val="001A7010"/>
    <w:rsid w:val="001A7F7F"/>
    <w:rsid w:val="001B1389"/>
    <w:rsid w:val="001B20B8"/>
    <w:rsid w:val="001B4CFA"/>
    <w:rsid w:val="001B53DC"/>
    <w:rsid w:val="001B591C"/>
    <w:rsid w:val="001B5ED7"/>
    <w:rsid w:val="001B63D1"/>
    <w:rsid w:val="001B67DF"/>
    <w:rsid w:val="001C00B8"/>
    <w:rsid w:val="001C4753"/>
    <w:rsid w:val="001C54F4"/>
    <w:rsid w:val="001C5ACA"/>
    <w:rsid w:val="001C5FA6"/>
    <w:rsid w:val="001D09ED"/>
    <w:rsid w:val="001D1754"/>
    <w:rsid w:val="001D1B73"/>
    <w:rsid w:val="001D33D1"/>
    <w:rsid w:val="001D431A"/>
    <w:rsid w:val="001D5CB6"/>
    <w:rsid w:val="001D71B5"/>
    <w:rsid w:val="001D770E"/>
    <w:rsid w:val="001E07F3"/>
    <w:rsid w:val="001E1593"/>
    <w:rsid w:val="001E3E37"/>
    <w:rsid w:val="001E46E0"/>
    <w:rsid w:val="001E7DFD"/>
    <w:rsid w:val="001F01F6"/>
    <w:rsid w:val="001F10EF"/>
    <w:rsid w:val="001F1A1E"/>
    <w:rsid w:val="001F1CAB"/>
    <w:rsid w:val="001F4A0E"/>
    <w:rsid w:val="001F4B4B"/>
    <w:rsid w:val="001F5850"/>
    <w:rsid w:val="001F59D3"/>
    <w:rsid w:val="001F607A"/>
    <w:rsid w:val="001F66DF"/>
    <w:rsid w:val="001F761F"/>
    <w:rsid w:val="00201E2A"/>
    <w:rsid w:val="00201E95"/>
    <w:rsid w:val="002031E3"/>
    <w:rsid w:val="00206C6C"/>
    <w:rsid w:val="00212B3B"/>
    <w:rsid w:val="00212FF7"/>
    <w:rsid w:val="002155AE"/>
    <w:rsid w:val="00215658"/>
    <w:rsid w:val="002212BF"/>
    <w:rsid w:val="0022313E"/>
    <w:rsid w:val="0022477D"/>
    <w:rsid w:val="00224886"/>
    <w:rsid w:val="002249E2"/>
    <w:rsid w:val="00225786"/>
    <w:rsid w:val="00225861"/>
    <w:rsid w:val="00230EAC"/>
    <w:rsid w:val="00232236"/>
    <w:rsid w:val="002343BD"/>
    <w:rsid w:val="002343DE"/>
    <w:rsid w:val="00236B0A"/>
    <w:rsid w:val="002466BB"/>
    <w:rsid w:val="002509F2"/>
    <w:rsid w:val="00250D21"/>
    <w:rsid w:val="002537ED"/>
    <w:rsid w:val="00254DB6"/>
    <w:rsid w:val="00255811"/>
    <w:rsid w:val="002566B7"/>
    <w:rsid w:val="00256C58"/>
    <w:rsid w:val="002617E3"/>
    <w:rsid w:val="0026182D"/>
    <w:rsid w:val="0026380A"/>
    <w:rsid w:val="00263BC0"/>
    <w:rsid w:val="00263F9A"/>
    <w:rsid w:val="00264A76"/>
    <w:rsid w:val="002662DC"/>
    <w:rsid w:val="002666E0"/>
    <w:rsid w:val="00266C29"/>
    <w:rsid w:val="00271A84"/>
    <w:rsid w:val="0027322C"/>
    <w:rsid w:val="002744D5"/>
    <w:rsid w:val="0027500C"/>
    <w:rsid w:val="00276CFB"/>
    <w:rsid w:val="00280FC3"/>
    <w:rsid w:val="002816BC"/>
    <w:rsid w:val="00282CC0"/>
    <w:rsid w:val="0028442F"/>
    <w:rsid w:val="00286699"/>
    <w:rsid w:val="002900D3"/>
    <w:rsid w:val="00291F50"/>
    <w:rsid w:val="00294B99"/>
    <w:rsid w:val="00295CC8"/>
    <w:rsid w:val="00295F52"/>
    <w:rsid w:val="002964BF"/>
    <w:rsid w:val="00296B0D"/>
    <w:rsid w:val="002A0CB2"/>
    <w:rsid w:val="002A2007"/>
    <w:rsid w:val="002A4645"/>
    <w:rsid w:val="002A5897"/>
    <w:rsid w:val="002B4C2D"/>
    <w:rsid w:val="002B6A42"/>
    <w:rsid w:val="002B7053"/>
    <w:rsid w:val="002C005E"/>
    <w:rsid w:val="002C00C0"/>
    <w:rsid w:val="002C2449"/>
    <w:rsid w:val="002C3352"/>
    <w:rsid w:val="002C35EA"/>
    <w:rsid w:val="002C35EE"/>
    <w:rsid w:val="002C4B2B"/>
    <w:rsid w:val="002C645F"/>
    <w:rsid w:val="002C70B8"/>
    <w:rsid w:val="002D17E6"/>
    <w:rsid w:val="002D2255"/>
    <w:rsid w:val="002D3C6D"/>
    <w:rsid w:val="002D4B36"/>
    <w:rsid w:val="002D72F7"/>
    <w:rsid w:val="002E1188"/>
    <w:rsid w:val="002E1894"/>
    <w:rsid w:val="002E1DE5"/>
    <w:rsid w:val="002E2544"/>
    <w:rsid w:val="002E2E02"/>
    <w:rsid w:val="002E378A"/>
    <w:rsid w:val="002E3E8A"/>
    <w:rsid w:val="002E54AF"/>
    <w:rsid w:val="002E6CB0"/>
    <w:rsid w:val="002F14B3"/>
    <w:rsid w:val="002F22A6"/>
    <w:rsid w:val="002F2347"/>
    <w:rsid w:val="002F240C"/>
    <w:rsid w:val="002F2AAD"/>
    <w:rsid w:val="002F3392"/>
    <w:rsid w:val="002F3D19"/>
    <w:rsid w:val="002F4479"/>
    <w:rsid w:val="002F4A96"/>
    <w:rsid w:val="002F69BE"/>
    <w:rsid w:val="00302E85"/>
    <w:rsid w:val="00303BCF"/>
    <w:rsid w:val="00305A97"/>
    <w:rsid w:val="00306A47"/>
    <w:rsid w:val="003129E7"/>
    <w:rsid w:val="0031349D"/>
    <w:rsid w:val="0031385D"/>
    <w:rsid w:val="00313C0F"/>
    <w:rsid w:val="00315460"/>
    <w:rsid w:val="003155BA"/>
    <w:rsid w:val="00315F3C"/>
    <w:rsid w:val="0031656B"/>
    <w:rsid w:val="003171F9"/>
    <w:rsid w:val="003174AC"/>
    <w:rsid w:val="003205CD"/>
    <w:rsid w:val="00322B1C"/>
    <w:rsid w:val="00323FA4"/>
    <w:rsid w:val="00327426"/>
    <w:rsid w:val="00330318"/>
    <w:rsid w:val="00330E04"/>
    <w:rsid w:val="00333C6D"/>
    <w:rsid w:val="00333DCA"/>
    <w:rsid w:val="00334E54"/>
    <w:rsid w:val="00334FF5"/>
    <w:rsid w:val="00335C13"/>
    <w:rsid w:val="00336A71"/>
    <w:rsid w:val="00336D23"/>
    <w:rsid w:val="003403A7"/>
    <w:rsid w:val="00340F23"/>
    <w:rsid w:val="00342964"/>
    <w:rsid w:val="00345938"/>
    <w:rsid w:val="00347126"/>
    <w:rsid w:val="0035059C"/>
    <w:rsid w:val="00350766"/>
    <w:rsid w:val="00352E33"/>
    <w:rsid w:val="003539C0"/>
    <w:rsid w:val="00354EBC"/>
    <w:rsid w:val="003563DE"/>
    <w:rsid w:val="00360EE4"/>
    <w:rsid w:val="0036441A"/>
    <w:rsid w:val="0037159E"/>
    <w:rsid w:val="003742B3"/>
    <w:rsid w:val="00374306"/>
    <w:rsid w:val="00374E62"/>
    <w:rsid w:val="00383EA9"/>
    <w:rsid w:val="003864BF"/>
    <w:rsid w:val="003870E1"/>
    <w:rsid w:val="00387F97"/>
    <w:rsid w:val="003901ED"/>
    <w:rsid w:val="00390603"/>
    <w:rsid w:val="0039094D"/>
    <w:rsid w:val="00393DBB"/>
    <w:rsid w:val="00394004"/>
    <w:rsid w:val="00394FF2"/>
    <w:rsid w:val="003956F1"/>
    <w:rsid w:val="0039783E"/>
    <w:rsid w:val="003A0146"/>
    <w:rsid w:val="003A1688"/>
    <w:rsid w:val="003A17F1"/>
    <w:rsid w:val="003A1E24"/>
    <w:rsid w:val="003A2256"/>
    <w:rsid w:val="003A2DB4"/>
    <w:rsid w:val="003A37D2"/>
    <w:rsid w:val="003A3A77"/>
    <w:rsid w:val="003A4058"/>
    <w:rsid w:val="003A4278"/>
    <w:rsid w:val="003A5087"/>
    <w:rsid w:val="003A6AE1"/>
    <w:rsid w:val="003A73ED"/>
    <w:rsid w:val="003B19CC"/>
    <w:rsid w:val="003B226C"/>
    <w:rsid w:val="003B2699"/>
    <w:rsid w:val="003B61E0"/>
    <w:rsid w:val="003C1578"/>
    <w:rsid w:val="003C689A"/>
    <w:rsid w:val="003D06F7"/>
    <w:rsid w:val="003D1781"/>
    <w:rsid w:val="003D2DDE"/>
    <w:rsid w:val="003D4BF5"/>
    <w:rsid w:val="003D61D9"/>
    <w:rsid w:val="003D64BC"/>
    <w:rsid w:val="003D67A5"/>
    <w:rsid w:val="003D74BE"/>
    <w:rsid w:val="003E023A"/>
    <w:rsid w:val="003E02BF"/>
    <w:rsid w:val="003E0776"/>
    <w:rsid w:val="003E0A9C"/>
    <w:rsid w:val="003E4C1E"/>
    <w:rsid w:val="003E5C77"/>
    <w:rsid w:val="003E5F42"/>
    <w:rsid w:val="003E6E3B"/>
    <w:rsid w:val="003E7480"/>
    <w:rsid w:val="003F11E1"/>
    <w:rsid w:val="003F254C"/>
    <w:rsid w:val="003F3EC9"/>
    <w:rsid w:val="003F43CA"/>
    <w:rsid w:val="003F507A"/>
    <w:rsid w:val="003F6AFE"/>
    <w:rsid w:val="003F747F"/>
    <w:rsid w:val="0040096F"/>
    <w:rsid w:val="00402F76"/>
    <w:rsid w:val="0040402A"/>
    <w:rsid w:val="00412EF0"/>
    <w:rsid w:val="00415552"/>
    <w:rsid w:val="00415C82"/>
    <w:rsid w:val="00416EFB"/>
    <w:rsid w:val="0041755D"/>
    <w:rsid w:val="004216D5"/>
    <w:rsid w:val="004230EF"/>
    <w:rsid w:val="00424249"/>
    <w:rsid w:val="00424284"/>
    <w:rsid w:val="004256B4"/>
    <w:rsid w:val="00426C49"/>
    <w:rsid w:val="00426E69"/>
    <w:rsid w:val="00427753"/>
    <w:rsid w:val="00433724"/>
    <w:rsid w:val="004339A2"/>
    <w:rsid w:val="004340D1"/>
    <w:rsid w:val="00434434"/>
    <w:rsid w:val="00434590"/>
    <w:rsid w:val="004427DF"/>
    <w:rsid w:val="004433BD"/>
    <w:rsid w:val="0044382E"/>
    <w:rsid w:val="00444538"/>
    <w:rsid w:val="00444C7D"/>
    <w:rsid w:val="00446882"/>
    <w:rsid w:val="00446BBC"/>
    <w:rsid w:val="00446E58"/>
    <w:rsid w:val="00446F9C"/>
    <w:rsid w:val="004502CC"/>
    <w:rsid w:val="004503A5"/>
    <w:rsid w:val="00452418"/>
    <w:rsid w:val="0045346C"/>
    <w:rsid w:val="004538DF"/>
    <w:rsid w:val="0045411B"/>
    <w:rsid w:val="0045495C"/>
    <w:rsid w:val="00455967"/>
    <w:rsid w:val="00455AAB"/>
    <w:rsid w:val="0045777C"/>
    <w:rsid w:val="00457FA4"/>
    <w:rsid w:val="004615DC"/>
    <w:rsid w:val="00464C42"/>
    <w:rsid w:val="00466449"/>
    <w:rsid w:val="00467139"/>
    <w:rsid w:val="004677DF"/>
    <w:rsid w:val="0047050B"/>
    <w:rsid w:val="004722B0"/>
    <w:rsid w:val="004722FC"/>
    <w:rsid w:val="0047280A"/>
    <w:rsid w:val="004732F5"/>
    <w:rsid w:val="004737F7"/>
    <w:rsid w:val="00474C89"/>
    <w:rsid w:val="004750AE"/>
    <w:rsid w:val="00476115"/>
    <w:rsid w:val="00476B21"/>
    <w:rsid w:val="00477D7B"/>
    <w:rsid w:val="004816E1"/>
    <w:rsid w:val="0048220C"/>
    <w:rsid w:val="00483B6A"/>
    <w:rsid w:val="00485864"/>
    <w:rsid w:val="00485C89"/>
    <w:rsid w:val="00485DEC"/>
    <w:rsid w:val="0048602E"/>
    <w:rsid w:val="0048638F"/>
    <w:rsid w:val="004871F3"/>
    <w:rsid w:val="00491843"/>
    <w:rsid w:val="00492AF3"/>
    <w:rsid w:val="00492C82"/>
    <w:rsid w:val="00493F65"/>
    <w:rsid w:val="00494ED1"/>
    <w:rsid w:val="004969C9"/>
    <w:rsid w:val="004A0862"/>
    <w:rsid w:val="004A1A8B"/>
    <w:rsid w:val="004A3AD3"/>
    <w:rsid w:val="004A3F4D"/>
    <w:rsid w:val="004A4896"/>
    <w:rsid w:val="004A65F6"/>
    <w:rsid w:val="004A66E4"/>
    <w:rsid w:val="004B1250"/>
    <w:rsid w:val="004B150F"/>
    <w:rsid w:val="004B1A93"/>
    <w:rsid w:val="004B2484"/>
    <w:rsid w:val="004B3E42"/>
    <w:rsid w:val="004B616D"/>
    <w:rsid w:val="004B6D46"/>
    <w:rsid w:val="004C001C"/>
    <w:rsid w:val="004C01F7"/>
    <w:rsid w:val="004C0C73"/>
    <w:rsid w:val="004C11F6"/>
    <w:rsid w:val="004C2743"/>
    <w:rsid w:val="004C59EB"/>
    <w:rsid w:val="004C6148"/>
    <w:rsid w:val="004D0228"/>
    <w:rsid w:val="004D081D"/>
    <w:rsid w:val="004D0AA8"/>
    <w:rsid w:val="004D1102"/>
    <w:rsid w:val="004D16F4"/>
    <w:rsid w:val="004D18D5"/>
    <w:rsid w:val="004D2914"/>
    <w:rsid w:val="004D2CAB"/>
    <w:rsid w:val="004D4AA3"/>
    <w:rsid w:val="004D4E11"/>
    <w:rsid w:val="004D6B91"/>
    <w:rsid w:val="004D75E1"/>
    <w:rsid w:val="004E0C7A"/>
    <w:rsid w:val="004E35F1"/>
    <w:rsid w:val="004E4497"/>
    <w:rsid w:val="004E4D1C"/>
    <w:rsid w:val="004E7836"/>
    <w:rsid w:val="004F1275"/>
    <w:rsid w:val="004F189B"/>
    <w:rsid w:val="004F19A9"/>
    <w:rsid w:val="004F2B47"/>
    <w:rsid w:val="004F3D95"/>
    <w:rsid w:val="004F44B3"/>
    <w:rsid w:val="004F48E9"/>
    <w:rsid w:val="004F4CB1"/>
    <w:rsid w:val="004F58AD"/>
    <w:rsid w:val="004F6391"/>
    <w:rsid w:val="00500630"/>
    <w:rsid w:val="0050075C"/>
    <w:rsid w:val="00501EA2"/>
    <w:rsid w:val="0050218F"/>
    <w:rsid w:val="00502498"/>
    <w:rsid w:val="00502851"/>
    <w:rsid w:val="005028EF"/>
    <w:rsid w:val="00511675"/>
    <w:rsid w:val="00512E53"/>
    <w:rsid w:val="00515077"/>
    <w:rsid w:val="00515AA1"/>
    <w:rsid w:val="00516633"/>
    <w:rsid w:val="005205E5"/>
    <w:rsid w:val="00520758"/>
    <w:rsid w:val="0052084F"/>
    <w:rsid w:val="00521EA8"/>
    <w:rsid w:val="00522430"/>
    <w:rsid w:val="005235B4"/>
    <w:rsid w:val="00523B13"/>
    <w:rsid w:val="00524AA8"/>
    <w:rsid w:val="005265D9"/>
    <w:rsid w:val="00527BBB"/>
    <w:rsid w:val="00527F6A"/>
    <w:rsid w:val="00531B3C"/>
    <w:rsid w:val="005328CE"/>
    <w:rsid w:val="00532F60"/>
    <w:rsid w:val="0053644F"/>
    <w:rsid w:val="005403F5"/>
    <w:rsid w:val="005410B8"/>
    <w:rsid w:val="005417D1"/>
    <w:rsid w:val="00544AEE"/>
    <w:rsid w:val="00546110"/>
    <w:rsid w:val="00550846"/>
    <w:rsid w:val="00550953"/>
    <w:rsid w:val="005538D3"/>
    <w:rsid w:val="005545F6"/>
    <w:rsid w:val="00555C81"/>
    <w:rsid w:val="00555E06"/>
    <w:rsid w:val="00557961"/>
    <w:rsid w:val="00557F1A"/>
    <w:rsid w:val="0056167C"/>
    <w:rsid w:val="00562F7D"/>
    <w:rsid w:val="005633A0"/>
    <w:rsid w:val="005635DA"/>
    <w:rsid w:val="00564503"/>
    <w:rsid w:val="005649DC"/>
    <w:rsid w:val="00564C8D"/>
    <w:rsid w:val="005658AA"/>
    <w:rsid w:val="0056736F"/>
    <w:rsid w:val="00571B8E"/>
    <w:rsid w:val="005724C6"/>
    <w:rsid w:val="00572635"/>
    <w:rsid w:val="00574FDF"/>
    <w:rsid w:val="005751EC"/>
    <w:rsid w:val="005774F1"/>
    <w:rsid w:val="005815B2"/>
    <w:rsid w:val="00583523"/>
    <w:rsid w:val="00586BA0"/>
    <w:rsid w:val="005879BF"/>
    <w:rsid w:val="0059036A"/>
    <w:rsid w:val="0059290A"/>
    <w:rsid w:val="00594E9A"/>
    <w:rsid w:val="0059704C"/>
    <w:rsid w:val="005A001F"/>
    <w:rsid w:val="005A08CE"/>
    <w:rsid w:val="005A0AFD"/>
    <w:rsid w:val="005A0C73"/>
    <w:rsid w:val="005A154A"/>
    <w:rsid w:val="005A1AEF"/>
    <w:rsid w:val="005A1DB4"/>
    <w:rsid w:val="005A2DBF"/>
    <w:rsid w:val="005B42FE"/>
    <w:rsid w:val="005B4AB8"/>
    <w:rsid w:val="005B55F7"/>
    <w:rsid w:val="005B6738"/>
    <w:rsid w:val="005C0251"/>
    <w:rsid w:val="005C08B2"/>
    <w:rsid w:val="005C0D25"/>
    <w:rsid w:val="005C0F5C"/>
    <w:rsid w:val="005C1539"/>
    <w:rsid w:val="005C3D92"/>
    <w:rsid w:val="005C5490"/>
    <w:rsid w:val="005C5E50"/>
    <w:rsid w:val="005C7839"/>
    <w:rsid w:val="005D0EE6"/>
    <w:rsid w:val="005D1B8A"/>
    <w:rsid w:val="005D1E17"/>
    <w:rsid w:val="005D26CC"/>
    <w:rsid w:val="005D3E34"/>
    <w:rsid w:val="005D42BA"/>
    <w:rsid w:val="005D4786"/>
    <w:rsid w:val="005D5322"/>
    <w:rsid w:val="005D5DDD"/>
    <w:rsid w:val="005D62A9"/>
    <w:rsid w:val="005D72E2"/>
    <w:rsid w:val="005D7480"/>
    <w:rsid w:val="005E21A8"/>
    <w:rsid w:val="005E34DA"/>
    <w:rsid w:val="005E370F"/>
    <w:rsid w:val="005E76C4"/>
    <w:rsid w:val="005F1442"/>
    <w:rsid w:val="005F3795"/>
    <w:rsid w:val="005F390D"/>
    <w:rsid w:val="005F491A"/>
    <w:rsid w:val="005F4A0D"/>
    <w:rsid w:val="005F4E84"/>
    <w:rsid w:val="005F5A84"/>
    <w:rsid w:val="00601346"/>
    <w:rsid w:val="00601431"/>
    <w:rsid w:val="00602640"/>
    <w:rsid w:val="006045B5"/>
    <w:rsid w:val="00605854"/>
    <w:rsid w:val="00605A45"/>
    <w:rsid w:val="006063E7"/>
    <w:rsid w:val="00606A3E"/>
    <w:rsid w:val="006075BD"/>
    <w:rsid w:val="00607F13"/>
    <w:rsid w:val="006110AA"/>
    <w:rsid w:val="0061156E"/>
    <w:rsid w:val="00613351"/>
    <w:rsid w:val="0061391D"/>
    <w:rsid w:val="00615631"/>
    <w:rsid w:val="00616586"/>
    <w:rsid w:val="00620218"/>
    <w:rsid w:val="0062145F"/>
    <w:rsid w:val="00621E5E"/>
    <w:rsid w:val="0062406D"/>
    <w:rsid w:val="006251D8"/>
    <w:rsid w:val="0062523D"/>
    <w:rsid w:val="006253F7"/>
    <w:rsid w:val="00630CE7"/>
    <w:rsid w:val="0063216B"/>
    <w:rsid w:val="00632A41"/>
    <w:rsid w:val="00633B88"/>
    <w:rsid w:val="00633FCF"/>
    <w:rsid w:val="00634073"/>
    <w:rsid w:val="00634814"/>
    <w:rsid w:val="00634FD8"/>
    <w:rsid w:val="00637E4B"/>
    <w:rsid w:val="006403F3"/>
    <w:rsid w:val="00640FBA"/>
    <w:rsid w:val="00642003"/>
    <w:rsid w:val="00642EAB"/>
    <w:rsid w:val="00643931"/>
    <w:rsid w:val="00643F48"/>
    <w:rsid w:val="0064453E"/>
    <w:rsid w:val="006513D1"/>
    <w:rsid w:val="0065145C"/>
    <w:rsid w:val="0065152B"/>
    <w:rsid w:val="00652F20"/>
    <w:rsid w:val="0065412B"/>
    <w:rsid w:val="006545EB"/>
    <w:rsid w:val="006547BE"/>
    <w:rsid w:val="00656007"/>
    <w:rsid w:val="00657336"/>
    <w:rsid w:val="006578A3"/>
    <w:rsid w:val="00661A02"/>
    <w:rsid w:val="0066429B"/>
    <w:rsid w:val="0066534E"/>
    <w:rsid w:val="0066678B"/>
    <w:rsid w:val="006672EC"/>
    <w:rsid w:val="0066740A"/>
    <w:rsid w:val="00667AEE"/>
    <w:rsid w:val="00670B4D"/>
    <w:rsid w:val="00671351"/>
    <w:rsid w:val="00672908"/>
    <w:rsid w:val="0067308A"/>
    <w:rsid w:val="00673F69"/>
    <w:rsid w:val="00673FE1"/>
    <w:rsid w:val="00674778"/>
    <w:rsid w:val="00675A14"/>
    <w:rsid w:val="00676B8F"/>
    <w:rsid w:val="00676F3A"/>
    <w:rsid w:val="006770FF"/>
    <w:rsid w:val="00677B18"/>
    <w:rsid w:val="0068024A"/>
    <w:rsid w:val="006818CF"/>
    <w:rsid w:val="00681CB5"/>
    <w:rsid w:val="00682BC6"/>
    <w:rsid w:val="00682D45"/>
    <w:rsid w:val="0068372E"/>
    <w:rsid w:val="00685B51"/>
    <w:rsid w:val="00686AFC"/>
    <w:rsid w:val="006875A0"/>
    <w:rsid w:val="006910CB"/>
    <w:rsid w:val="00691F66"/>
    <w:rsid w:val="00692284"/>
    <w:rsid w:val="00693D97"/>
    <w:rsid w:val="00693F2A"/>
    <w:rsid w:val="00695952"/>
    <w:rsid w:val="0069676F"/>
    <w:rsid w:val="006A0651"/>
    <w:rsid w:val="006A084C"/>
    <w:rsid w:val="006A2DFF"/>
    <w:rsid w:val="006A3EA4"/>
    <w:rsid w:val="006A404A"/>
    <w:rsid w:val="006A4819"/>
    <w:rsid w:val="006A625D"/>
    <w:rsid w:val="006A79FF"/>
    <w:rsid w:val="006B03A9"/>
    <w:rsid w:val="006B5047"/>
    <w:rsid w:val="006B54B4"/>
    <w:rsid w:val="006B636E"/>
    <w:rsid w:val="006B6853"/>
    <w:rsid w:val="006B6D00"/>
    <w:rsid w:val="006C0617"/>
    <w:rsid w:val="006C2962"/>
    <w:rsid w:val="006C4511"/>
    <w:rsid w:val="006C45F7"/>
    <w:rsid w:val="006C4DC8"/>
    <w:rsid w:val="006D0A7E"/>
    <w:rsid w:val="006D1AE2"/>
    <w:rsid w:val="006D4728"/>
    <w:rsid w:val="006D4787"/>
    <w:rsid w:val="006D6F3F"/>
    <w:rsid w:val="006E4E0B"/>
    <w:rsid w:val="006E6E2A"/>
    <w:rsid w:val="006F1A18"/>
    <w:rsid w:val="006F2D87"/>
    <w:rsid w:val="006F31FB"/>
    <w:rsid w:val="006F322C"/>
    <w:rsid w:val="006F4D0F"/>
    <w:rsid w:val="006F500C"/>
    <w:rsid w:val="007018F5"/>
    <w:rsid w:val="007036C7"/>
    <w:rsid w:val="00703F86"/>
    <w:rsid w:val="00705A85"/>
    <w:rsid w:val="00707D87"/>
    <w:rsid w:val="007108BA"/>
    <w:rsid w:val="00712103"/>
    <w:rsid w:val="007136E9"/>
    <w:rsid w:val="00715FB6"/>
    <w:rsid w:val="00717570"/>
    <w:rsid w:val="00717F3C"/>
    <w:rsid w:val="0072062B"/>
    <w:rsid w:val="00721094"/>
    <w:rsid w:val="00722C1F"/>
    <w:rsid w:val="00723633"/>
    <w:rsid w:val="00723D36"/>
    <w:rsid w:val="0072420B"/>
    <w:rsid w:val="007275AC"/>
    <w:rsid w:val="00731BA8"/>
    <w:rsid w:val="00731F19"/>
    <w:rsid w:val="0073263E"/>
    <w:rsid w:val="0073395B"/>
    <w:rsid w:val="007343AD"/>
    <w:rsid w:val="00734E27"/>
    <w:rsid w:val="00735563"/>
    <w:rsid w:val="00736A47"/>
    <w:rsid w:val="00737B97"/>
    <w:rsid w:val="00741754"/>
    <w:rsid w:val="007471A9"/>
    <w:rsid w:val="0074728C"/>
    <w:rsid w:val="007507F3"/>
    <w:rsid w:val="00752031"/>
    <w:rsid w:val="007524D0"/>
    <w:rsid w:val="00753BE7"/>
    <w:rsid w:val="00757570"/>
    <w:rsid w:val="00761866"/>
    <w:rsid w:val="0076251D"/>
    <w:rsid w:val="00764F85"/>
    <w:rsid w:val="007660EA"/>
    <w:rsid w:val="00766D66"/>
    <w:rsid w:val="00770623"/>
    <w:rsid w:val="00771414"/>
    <w:rsid w:val="00771BB1"/>
    <w:rsid w:val="00774B43"/>
    <w:rsid w:val="007754AA"/>
    <w:rsid w:val="0077666A"/>
    <w:rsid w:val="00776900"/>
    <w:rsid w:val="007811EC"/>
    <w:rsid w:val="00781B81"/>
    <w:rsid w:val="007826EC"/>
    <w:rsid w:val="00784644"/>
    <w:rsid w:val="00790639"/>
    <w:rsid w:val="0079101D"/>
    <w:rsid w:val="00792C40"/>
    <w:rsid w:val="00793407"/>
    <w:rsid w:val="00794561"/>
    <w:rsid w:val="00796775"/>
    <w:rsid w:val="00797F0B"/>
    <w:rsid w:val="007A066D"/>
    <w:rsid w:val="007A0A78"/>
    <w:rsid w:val="007A2544"/>
    <w:rsid w:val="007A2C1F"/>
    <w:rsid w:val="007A6687"/>
    <w:rsid w:val="007A6D03"/>
    <w:rsid w:val="007A6E79"/>
    <w:rsid w:val="007A7096"/>
    <w:rsid w:val="007B0E5D"/>
    <w:rsid w:val="007B10C9"/>
    <w:rsid w:val="007B4737"/>
    <w:rsid w:val="007B4EEB"/>
    <w:rsid w:val="007B5992"/>
    <w:rsid w:val="007B650D"/>
    <w:rsid w:val="007B731C"/>
    <w:rsid w:val="007B7D31"/>
    <w:rsid w:val="007C26F2"/>
    <w:rsid w:val="007C5558"/>
    <w:rsid w:val="007C57E9"/>
    <w:rsid w:val="007C5FBA"/>
    <w:rsid w:val="007C757C"/>
    <w:rsid w:val="007D0BBA"/>
    <w:rsid w:val="007D1615"/>
    <w:rsid w:val="007D1AAE"/>
    <w:rsid w:val="007D2ADE"/>
    <w:rsid w:val="007D2DCA"/>
    <w:rsid w:val="007D3221"/>
    <w:rsid w:val="007D63E1"/>
    <w:rsid w:val="007D7A01"/>
    <w:rsid w:val="007D7CBA"/>
    <w:rsid w:val="007D7E3C"/>
    <w:rsid w:val="007E03C9"/>
    <w:rsid w:val="007E2BD8"/>
    <w:rsid w:val="007E5C58"/>
    <w:rsid w:val="007F1534"/>
    <w:rsid w:val="007F1765"/>
    <w:rsid w:val="007F1A13"/>
    <w:rsid w:val="007F1D3B"/>
    <w:rsid w:val="007F1D52"/>
    <w:rsid w:val="007F27B4"/>
    <w:rsid w:val="007F2D71"/>
    <w:rsid w:val="007F6587"/>
    <w:rsid w:val="00800288"/>
    <w:rsid w:val="0080482F"/>
    <w:rsid w:val="008051BE"/>
    <w:rsid w:val="0080676E"/>
    <w:rsid w:val="00810A7E"/>
    <w:rsid w:val="0081689B"/>
    <w:rsid w:val="00817A18"/>
    <w:rsid w:val="0082154F"/>
    <w:rsid w:val="00821598"/>
    <w:rsid w:val="00821988"/>
    <w:rsid w:val="00821F08"/>
    <w:rsid w:val="00822165"/>
    <w:rsid w:val="0082418B"/>
    <w:rsid w:val="008270DA"/>
    <w:rsid w:val="00833008"/>
    <w:rsid w:val="008359CC"/>
    <w:rsid w:val="00835A07"/>
    <w:rsid w:val="00835DB8"/>
    <w:rsid w:val="0083692A"/>
    <w:rsid w:val="00843163"/>
    <w:rsid w:val="008433E3"/>
    <w:rsid w:val="0084652A"/>
    <w:rsid w:val="00846641"/>
    <w:rsid w:val="0085037E"/>
    <w:rsid w:val="008504E4"/>
    <w:rsid w:val="0085288A"/>
    <w:rsid w:val="00853C39"/>
    <w:rsid w:val="008543DF"/>
    <w:rsid w:val="00856660"/>
    <w:rsid w:val="008571E6"/>
    <w:rsid w:val="00860800"/>
    <w:rsid w:val="008620C1"/>
    <w:rsid w:val="00863810"/>
    <w:rsid w:val="00863B84"/>
    <w:rsid w:val="00864C31"/>
    <w:rsid w:val="0087243F"/>
    <w:rsid w:val="00872A55"/>
    <w:rsid w:val="00872B4C"/>
    <w:rsid w:val="00872D73"/>
    <w:rsid w:val="0087321D"/>
    <w:rsid w:val="00875BCC"/>
    <w:rsid w:val="0087641A"/>
    <w:rsid w:val="008766A1"/>
    <w:rsid w:val="0087695C"/>
    <w:rsid w:val="00877305"/>
    <w:rsid w:val="008803C7"/>
    <w:rsid w:val="00882750"/>
    <w:rsid w:val="00886AB1"/>
    <w:rsid w:val="00887DAA"/>
    <w:rsid w:val="00890340"/>
    <w:rsid w:val="0089198A"/>
    <w:rsid w:val="008966CC"/>
    <w:rsid w:val="008974F0"/>
    <w:rsid w:val="008A3106"/>
    <w:rsid w:val="008A39D6"/>
    <w:rsid w:val="008A4E55"/>
    <w:rsid w:val="008A4ED0"/>
    <w:rsid w:val="008A69B9"/>
    <w:rsid w:val="008A72B1"/>
    <w:rsid w:val="008B0353"/>
    <w:rsid w:val="008B0653"/>
    <w:rsid w:val="008B1CB6"/>
    <w:rsid w:val="008B25D7"/>
    <w:rsid w:val="008B2E35"/>
    <w:rsid w:val="008B3213"/>
    <w:rsid w:val="008B3F40"/>
    <w:rsid w:val="008B47A0"/>
    <w:rsid w:val="008B4874"/>
    <w:rsid w:val="008B57D2"/>
    <w:rsid w:val="008B6EDD"/>
    <w:rsid w:val="008B7DD0"/>
    <w:rsid w:val="008C0851"/>
    <w:rsid w:val="008C1AAA"/>
    <w:rsid w:val="008C2307"/>
    <w:rsid w:val="008C2658"/>
    <w:rsid w:val="008C3167"/>
    <w:rsid w:val="008C46EA"/>
    <w:rsid w:val="008C500E"/>
    <w:rsid w:val="008D2A9D"/>
    <w:rsid w:val="008D3466"/>
    <w:rsid w:val="008D3B47"/>
    <w:rsid w:val="008D3E11"/>
    <w:rsid w:val="008D3E84"/>
    <w:rsid w:val="008D7796"/>
    <w:rsid w:val="008D7851"/>
    <w:rsid w:val="008D7D2A"/>
    <w:rsid w:val="008E267C"/>
    <w:rsid w:val="008E27A9"/>
    <w:rsid w:val="008E5467"/>
    <w:rsid w:val="008E55F6"/>
    <w:rsid w:val="008E799B"/>
    <w:rsid w:val="008E7EE0"/>
    <w:rsid w:val="008F04B9"/>
    <w:rsid w:val="008F1C80"/>
    <w:rsid w:val="008F2784"/>
    <w:rsid w:val="008F2873"/>
    <w:rsid w:val="008F3B81"/>
    <w:rsid w:val="008F3F3A"/>
    <w:rsid w:val="008F42C6"/>
    <w:rsid w:val="008F6AE0"/>
    <w:rsid w:val="008F70DE"/>
    <w:rsid w:val="008F7937"/>
    <w:rsid w:val="008F795B"/>
    <w:rsid w:val="009005BF"/>
    <w:rsid w:val="00901483"/>
    <w:rsid w:val="0090172C"/>
    <w:rsid w:val="009017A1"/>
    <w:rsid w:val="0090276A"/>
    <w:rsid w:val="00904404"/>
    <w:rsid w:val="00904A2E"/>
    <w:rsid w:val="00904EFA"/>
    <w:rsid w:val="0090552E"/>
    <w:rsid w:val="0090678C"/>
    <w:rsid w:val="00906D62"/>
    <w:rsid w:val="00911A65"/>
    <w:rsid w:val="00912A5A"/>
    <w:rsid w:val="00913517"/>
    <w:rsid w:val="00914387"/>
    <w:rsid w:val="00914874"/>
    <w:rsid w:val="00917627"/>
    <w:rsid w:val="00924D2B"/>
    <w:rsid w:val="009252FC"/>
    <w:rsid w:val="009263C4"/>
    <w:rsid w:val="0093133D"/>
    <w:rsid w:val="0093153B"/>
    <w:rsid w:val="00931766"/>
    <w:rsid w:val="009321CD"/>
    <w:rsid w:val="00932EE6"/>
    <w:rsid w:val="00937DD1"/>
    <w:rsid w:val="00937E49"/>
    <w:rsid w:val="00940105"/>
    <w:rsid w:val="00940361"/>
    <w:rsid w:val="00941344"/>
    <w:rsid w:val="0094358C"/>
    <w:rsid w:val="00944877"/>
    <w:rsid w:val="009456A5"/>
    <w:rsid w:val="0095090B"/>
    <w:rsid w:val="009509F6"/>
    <w:rsid w:val="00952AEA"/>
    <w:rsid w:val="0095458C"/>
    <w:rsid w:val="0095488A"/>
    <w:rsid w:val="00955AB1"/>
    <w:rsid w:val="00955C68"/>
    <w:rsid w:val="00955D7B"/>
    <w:rsid w:val="00956401"/>
    <w:rsid w:val="0095718B"/>
    <w:rsid w:val="009572D0"/>
    <w:rsid w:val="00957417"/>
    <w:rsid w:val="009578ED"/>
    <w:rsid w:val="009605DA"/>
    <w:rsid w:val="00962D17"/>
    <w:rsid w:val="00962D58"/>
    <w:rsid w:val="009637E4"/>
    <w:rsid w:val="00964E73"/>
    <w:rsid w:val="0096562F"/>
    <w:rsid w:val="00966019"/>
    <w:rsid w:val="0096678C"/>
    <w:rsid w:val="00966D75"/>
    <w:rsid w:val="00967D9C"/>
    <w:rsid w:val="00970A1D"/>
    <w:rsid w:val="00971457"/>
    <w:rsid w:val="0097234F"/>
    <w:rsid w:val="00972F7A"/>
    <w:rsid w:val="009736E0"/>
    <w:rsid w:val="00974316"/>
    <w:rsid w:val="009756B2"/>
    <w:rsid w:val="00975DDE"/>
    <w:rsid w:val="00976E62"/>
    <w:rsid w:val="0098014C"/>
    <w:rsid w:val="0098044B"/>
    <w:rsid w:val="00980A52"/>
    <w:rsid w:val="00981D58"/>
    <w:rsid w:val="009829AE"/>
    <w:rsid w:val="00985FB0"/>
    <w:rsid w:val="0098621E"/>
    <w:rsid w:val="0098758C"/>
    <w:rsid w:val="00987F0C"/>
    <w:rsid w:val="00990EE9"/>
    <w:rsid w:val="00990F59"/>
    <w:rsid w:val="00990FE3"/>
    <w:rsid w:val="00991FE6"/>
    <w:rsid w:val="0099241D"/>
    <w:rsid w:val="009948A7"/>
    <w:rsid w:val="00996CA8"/>
    <w:rsid w:val="00997EB8"/>
    <w:rsid w:val="009A0690"/>
    <w:rsid w:val="009A31B2"/>
    <w:rsid w:val="009A3B51"/>
    <w:rsid w:val="009A3D78"/>
    <w:rsid w:val="009A3F0E"/>
    <w:rsid w:val="009A443C"/>
    <w:rsid w:val="009A5A02"/>
    <w:rsid w:val="009A692B"/>
    <w:rsid w:val="009A6F96"/>
    <w:rsid w:val="009B0FB1"/>
    <w:rsid w:val="009B2210"/>
    <w:rsid w:val="009B280C"/>
    <w:rsid w:val="009C3675"/>
    <w:rsid w:val="009C404E"/>
    <w:rsid w:val="009C4278"/>
    <w:rsid w:val="009C54F0"/>
    <w:rsid w:val="009C591D"/>
    <w:rsid w:val="009C7A95"/>
    <w:rsid w:val="009D108B"/>
    <w:rsid w:val="009D10A8"/>
    <w:rsid w:val="009D2C90"/>
    <w:rsid w:val="009D3F96"/>
    <w:rsid w:val="009D46EF"/>
    <w:rsid w:val="009D6C75"/>
    <w:rsid w:val="009D723F"/>
    <w:rsid w:val="009D7B49"/>
    <w:rsid w:val="009E03E1"/>
    <w:rsid w:val="009E065E"/>
    <w:rsid w:val="009E0E16"/>
    <w:rsid w:val="009E1796"/>
    <w:rsid w:val="009E3ACA"/>
    <w:rsid w:val="009E6603"/>
    <w:rsid w:val="009E7117"/>
    <w:rsid w:val="00A001BC"/>
    <w:rsid w:val="00A01362"/>
    <w:rsid w:val="00A0312C"/>
    <w:rsid w:val="00A032AF"/>
    <w:rsid w:val="00A04A76"/>
    <w:rsid w:val="00A056C1"/>
    <w:rsid w:val="00A06B30"/>
    <w:rsid w:val="00A15080"/>
    <w:rsid w:val="00A16EE5"/>
    <w:rsid w:val="00A207AB"/>
    <w:rsid w:val="00A20BA3"/>
    <w:rsid w:val="00A20D8C"/>
    <w:rsid w:val="00A215FA"/>
    <w:rsid w:val="00A228C7"/>
    <w:rsid w:val="00A237F3"/>
    <w:rsid w:val="00A266CD"/>
    <w:rsid w:val="00A274E1"/>
    <w:rsid w:val="00A30131"/>
    <w:rsid w:val="00A31441"/>
    <w:rsid w:val="00A31966"/>
    <w:rsid w:val="00A3210F"/>
    <w:rsid w:val="00A321F2"/>
    <w:rsid w:val="00A329E0"/>
    <w:rsid w:val="00A335AB"/>
    <w:rsid w:val="00A33A71"/>
    <w:rsid w:val="00A33C5F"/>
    <w:rsid w:val="00A34894"/>
    <w:rsid w:val="00A35517"/>
    <w:rsid w:val="00A3692C"/>
    <w:rsid w:val="00A37988"/>
    <w:rsid w:val="00A37FD0"/>
    <w:rsid w:val="00A41982"/>
    <w:rsid w:val="00A41A8B"/>
    <w:rsid w:val="00A423A9"/>
    <w:rsid w:val="00A4262E"/>
    <w:rsid w:val="00A441BC"/>
    <w:rsid w:val="00A44BFE"/>
    <w:rsid w:val="00A45603"/>
    <w:rsid w:val="00A46485"/>
    <w:rsid w:val="00A467BA"/>
    <w:rsid w:val="00A47A6B"/>
    <w:rsid w:val="00A50C34"/>
    <w:rsid w:val="00A51F32"/>
    <w:rsid w:val="00A53344"/>
    <w:rsid w:val="00A53818"/>
    <w:rsid w:val="00A55682"/>
    <w:rsid w:val="00A557D0"/>
    <w:rsid w:val="00A56BC6"/>
    <w:rsid w:val="00A56E0F"/>
    <w:rsid w:val="00A57333"/>
    <w:rsid w:val="00A5744C"/>
    <w:rsid w:val="00A60B98"/>
    <w:rsid w:val="00A613B8"/>
    <w:rsid w:val="00A61AEA"/>
    <w:rsid w:val="00A6221D"/>
    <w:rsid w:val="00A62E24"/>
    <w:rsid w:val="00A63E75"/>
    <w:rsid w:val="00A663AF"/>
    <w:rsid w:val="00A66843"/>
    <w:rsid w:val="00A67DDF"/>
    <w:rsid w:val="00A700A9"/>
    <w:rsid w:val="00A709A5"/>
    <w:rsid w:val="00A709DB"/>
    <w:rsid w:val="00A70FB5"/>
    <w:rsid w:val="00A719AE"/>
    <w:rsid w:val="00A74D03"/>
    <w:rsid w:val="00A77933"/>
    <w:rsid w:val="00A81161"/>
    <w:rsid w:val="00A81706"/>
    <w:rsid w:val="00A81B65"/>
    <w:rsid w:val="00A8330C"/>
    <w:rsid w:val="00A83D9D"/>
    <w:rsid w:val="00A86E2C"/>
    <w:rsid w:val="00A86F72"/>
    <w:rsid w:val="00A90F91"/>
    <w:rsid w:val="00A91E07"/>
    <w:rsid w:val="00A92280"/>
    <w:rsid w:val="00A923C7"/>
    <w:rsid w:val="00A94D1C"/>
    <w:rsid w:val="00A954C8"/>
    <w:rsid w:val="00A95A3E"/>
    <w:rsid w:val="00AA0137"/>
    <w:rsid w:val="00AA0492"/>
    <w:rsid w:val="00AA328E"/>
    <w:rsid w:val="00AA5407"/>
    <w:rsid w:val="00AB2634"/>
    <w:rsid w:val="00AB2A18"/>
    <w:rsid w:val="00AB40B5"/>
    <w:rsid w:val="00AB421D"/>
    <w:rsid w:val="00AB502F"/>
    <w:rsid w:val="00AB6DFC"/>
    <w:rsid w:val="00AB778C"/>
    <w:rsid w:val="00AB7A05"/>
    <w:rsid w:val="00AB7BFA"/>
    <w:rsid w:val="00AB7C97"/>
    <w:rsid w:val="00AC07BC"/>
    <w:rsid w:val="00AC1AD4"/>
    <w:rsid w:val="00AC2C1E"/>
    <w:rsid w:val="00AC34AB"/>
    <w:rsid w:val="00AC40D9"/>
    <w:rsid w:val="00AD0A90"/>
    <w:rsid w:val="00AD1AB2"/>
    <w:rsid w:val="00AD2D8C"/>
    <w:rsid w:val="00AD46A1"/>
    <w:rsid w:val="00AD48B2"/>
    <w:rsid w:val="00AD4E12"/>
    <w:rsid w:val="00AD50A9"/>
    <w:rsid w:val="00AD5CE7"/>
    <w:rsid w:val="00AD609A"/>
    <w:rsid w:val="00AE4004"/>
    <w:rsid w:val="00AE4DB0"/>
    <w:rsid w:val="00AE5B79"/>
    <w:rsid w:val="00AE6A89"/>
    <w:rsid w:val="00AF032D"/>
    <w:rsid w:val="00AF1931"/>
    <w:rsid w:val="00AF450C"/>
    <w:rsid w:val="00AF5C3B"/>
    <w:rsid w:val="00AF6652"/>
    <w:rsid w:val="00B00F52"/>
    <w:rsid w:val="00B0109C"/>
    <w:rsid w:val="00B02CA6"/>
    <w:rsid w:val="00B03F1E"/>
    <w:rsid w:val="00B05F1D"/>
    <w:rsid w:val="00B06E0C"/>
    <w:rsid w:val="00B06E9E"/>
    <w:rsid w:val="00B07389"/>
    <w:rsid w:val="00B07B9A"/>
    <w:rsid w:val="00B07BDC"/>
    <w:rsid w:val="00B128A4"/>
    <w:rsid w:val="00B13169"/>
    <w:rsid w:val="00B14EE9"/>
    <w:rsid w:val="00B16BA1"/>
    <w:rsid w:val="00B17697"/>
    <w:rsid w:val="00B20D50"/>
    <w:rsid w:val="00B22AF5"/>
    <w:rsid w:val="00B248EF"/>
    <w:rsid w:val="00B257B8"/>
    <w:rsid w:val="00B269B4"/>
    <w:rsid w:val="00B275BA"/>
    <w:rsid w:val="00B30B5B"/>
    <w:rsid w:val="00B32119"/>
    <w:rsid w:val="00B32385"/>
    <w:rsid w:val="00B325EF"/>
    <w:rsid w:val="00B33124"/>
    <w:rsid w:val="00B41B7E"/>
    <w:rsid w:val="00B4671B"/>
    <w:rsid w:val="00B47772"/>
    <w:rsid w:val="00B50101"/>
    <w:rsid w:val="00B507DE"/>
    <w:rsid w:val="00B53413"/>
    <w:rsid w:val="00B55BAC"/>
    <w:rsid w:val="00B602E5"/>
    <w:rsid w:val="00B61890"/>
    <w:rsid w:val="00B62BF1"/>
    <w:rsid w:val="00B636EB"/>
    <w:rsid w:val="00B66877"/>
    <w:rsid w:val="00B67012"/>
    <w:rsid w:val="00B67405"/>
    <w:rsid w:val="00B707B9"/>
    <w:rsid w:val="00B725A6"/>
    <w:rsid w:val="00B740ED"/>
    <w:rsid w:val="00B74A86"/>
    <w:rsid w:val="00B7509F"/>
    <w:rsid w:val="00B758DA"/>
    <w:rsid w:val="00B76D9F"/>
    <w:rsid w:val="00B77F19"/>
    <w:rsid w:val="00B8201F"/>
    <w:rsid w:val="00B838BB"/>
    <w:rsid w:val="00B84D0A"/>
    <w:rsid w:val="00B86FD4"/>
    <w:rsid w:val="00B87161"/>
    <w:rsid w:val="00B91532"/>
    <w:rsid w:val="00B9292E"/>
    <w:rsid w:val="00B93355"/>
    <w:rsid w:val="00B9366E"/>
    <w:rsid w:val="00B96E67"/>
    <w:rsid w:val="00BA0C62"/>
    <w:rsid w:val="00BA5373"/>
    <w:rsid w:val="00BA62F3"/>
    <w:rsid w:val="00BA6DAC"/>
    <w:rsid w:val="00BA7534"/>
    <w:rsid w:val="00BB2BF7"/>
    <w:rsid w:val="00BB3D83"/>
    <w:rsid w:val="00BB4550"/>
    <w:rsid w:val="00BB4C93"/>
    <w:rsid w:val="00BB51F1"/>
    <w:rsid w:val="00BB53A4"/>
    <w:rsid w:val="00BB7879"/>
    <w:rsid w:val="00BC0CE5"/>
    <w:rsid w:val="00BC1ADB"/>
    <w:rsid w:val="00BC3312"/>
    <w:rsid w:val="00BC5199"/>
    <w:rsid w:val="00BC5396"/>
    <w:rsid w:val="00BC5C8D"/>
    <w:rsid w:val="00BC5D62"/>
    <w:rsid w:val="00BC6A66"/>
    <w:rsid w:val="00BC712C"/>
    <w:rsid w:val="00BD00AE"/>
    <w:rsid w:val="00BD1527"/>
    <w:rsid w:val="00BD1587"/>
    <w:rsid w:val="00BD1BF5"/>
    <w:rsid w:val="00BD22BC"/>
    <w:rsid w:val="00BD33E6"/>
    <w:rsid w:val="00BD34CB"/>
    <w:rsid w:val="00BD36E2"/>
    <w:rsid w:val="00BD3F02"/>
    <w:rsid w:val="00BD5FD5"/>
    <w:rsid w:val="00BD6BC3"/>
    <w:rsid w:val="00BD7E0B"/>
    <w:rsid w:val="00BE0033"/>
    <w:rsid w:val="00BE16A0"/>
    <w:rsid w:val="00BE2874"/>
    <w:rsid w:val="00BE38F4"/>
    <w:rsid w:val="00BE3B61"/>
    <w:rsid w:val="00BE5169"/>
    <w:rsid w:val="00BE55A0"/>
    <w:rsid w:val="00BE58DB"/>
    <w:rsid w:val="00BE5B23"/>
    <w:rsid w:val="00BE5FB0"/>
    <w:rsid w:val="00BE760F"/>
    <w:rsid w:val="00BE78DD"/>
    <w:rsid w:val="00BE7CA5"/>
    <w:rsid w:val="00BF0CDC"/>
    <w:rsid w:val="00BF3A11"/>
    <w:rsid w:val="00BF3E85"/>
    <w:rsid w:val="00BF417B"/>
    <w:rsid w:val="00BF455E"/>
    <w:rsid w:val="00BF5BD5"/>
    <w:rsid w:val="00BF7374"/>
    <w:rsid w:val="00BF7F5B"/>
    <w:rsid w:val="00C00F58"/>
    <w:rsid w:val="00C02B96"/>
    <w:rsid w:val="00C05611"/>
    <w:rsid w:val="00C05AF3"/>
    <w:rsid w:val="00C06C42"/>
    <w:rsid w:val="00C10069"/>
    <w:rsid w:val="00C12FD6"/>
    <w:rsid w:val="00C132A2"/>
    <w:rsid w:val="00C1332E"/>
    <w:rsid w:val="00C1353A"/>
    <w:rsid w:val="00C14330"/>
    <w:rsid w:val="00C14ECF"/>
    <w:rsid w:val="00C165FA"/>
    <w:rsid w:val="00C16FCD"/>
    <w:rsid w:val="00C174EA"/>
    <w:rsid w:val="00C2060A"/>
    <w:rsid w:val="00C234D0"/>
    <w:rsid w:val="00C26752"/>
    <w:rsid w:val="00C3014D"/>
    <w:rsid w:val="00C319FC"/>
    <w:rsid w:val="00C31B2C"/>
    <w:rsid w:val="00C32E96"/>
    <w:rsid w:val="00C3716A"/>
    <w:rsid w:val="00C3789B"/>
    <w:rsid w:val="00C37A77"/>
    <w:rsid w:val="00C40405"/>
    <w:rsid w:val="00C4058B"/>
    <w:rsid w:val="00C4415F"/>
    <w:rsid w:val="00C45E98"/>
    <w:rsid w:val="00C479D4"/>
    <w:rsid w:val="00C47DF3"/>
    <w:rsid w:val="00C52418"/>
    <w:rsid w:val="00C5260F"/>
    <w:rsid w:val="00C52BB4"/>
    <w:rsid w:val="00C55D66"/>
    <w:rsid w:val="00C55E86"/>
    <w:rsid w:val="00C601DD"/>
    <w:rsid w:val="00C61552"/>
    <w:rsid w:val="00C6285B"/>
    <w:rsid w:val="00C64B3E"/>
    <w:rsid w:val="00C660F6"/>
    <w:rsid w:val="00C66AB2"/>
    <w:rsid w:val="00C66CC8"/>
    <w:rsid w:val="00C67B50"/>
    <w:rsid w:val="00C70238"/>
    <w:rsid w:val="00C725EE"/>
    <w:rsid w:val="00C735A7"/>
    <w:rsid w:val="00C777CF"/>
    <w:rsid w:val="00C77D9E"/>
    <w:rsid w:val="00C83CCB"/>
    <w:rsid w:val="00C868EA"/>
    <w:rsid w:val="00C86926"/>
    <w:rsid w:val="00C86D4D"/>
    <w:rsid w:val="00C87EEF"/>
    <w:rsid w:val="00C90E82"/>
    <w:rsid w:val="00C9112A"/>
    <w:rsid w:val="00C91453"/>
    <w:rsid w:val="00C94C52"/>
    <w:rsid w:val="00C951A7"/>
    <w:rsid w:val="00C95A78"/>
    <w:rsid w:val="00C96BB6"/>
    <w:rsid w:val="00CA4FCF"/>
    <w:rsid w:val="00CA773D"/>
    <w:rsid w:val="00CA7F8E"/>
    <w:rsid w:val="00CB0E54"/>
    <w:rsid w:val="00CB1982"/>
    <w:rsid w:val="00CB1CB7"/>
    <w:rsid w:val="00CB25FF"/>
    <w:rsid w:val="00CB4451"/>
    <w:rsid w:val="00CB52AA"/>
    <w:rsid w:val="00CB55BF"/>
    <w:rsid w:val="00CB6951"/>
    <w:rsid w:val="00CC010B"/>
    <w:rsid w:val="00CC0B09"/>
    <w:rsid w:val="00CC0B21"/>
    <w:rsid w:val="00CC171D"/>
    <w:rsid w:val="00CC225E"/>
    <w:rsid w:val="00CC39A4"/>
    <w:rsid w:val="00CC652E"/>
    <w:rsid w:val="00CC773F"/>
    <w:rsid w:val="00CD1325"/>
    <w:rsid w:val="00CD1895"/>
    <w:rsid w:val="00CD25C8"/>
    <w:rsid w:val="00CD4918"/>
    <w:rsid w:val="00CD62A6"/>
    <w:rsid w:val="00CD79F2"/>
    <w:rsid w:val="00CD7BD0"/>
    <w:rsid w:val="00CD7D88"/>
    <w:rsid w:val="00CE0434"/>
    <w:rsid w:val="00CE3B7E"/>
    <w:rsid w:val="00CE3E37"/>
    <w:rsid w:val="00CE4DDF"/>
    <w:rsid w:val="00CE741F"/>
    <w:rsid w:val="00CE7CD9"/>
    <w:rsid w:val="00CF2D12"/>
    <w:rsid w:val="00CF4022"/>
    <w:rsid w:val="00CF53DC"/>
    <w:rsid w:val="00CF7DAF"/>
    <w:rsid w:val="00D017AC"/>
    <w:rsid w:val="00D01EE9"/>
    <w:rsid w:val="00D02379"/>
    <w:rsid w:val="00D031A2"/>
    <w:rsid w:val="00D03EA8"/>
    <w:rsid w:val="00D04A1C"/>
    <w:rsid w:val="00D150BF"/>
    <w:rsid w:val="00D20D78"/>
    <w:rsid w:val="00D21B84"/>
    <w:rsid w:val="00D21BB0"/>
    <w:rsid w:val="00D21E55"/>
    <w:rsid w:val="00D233F0"/>
    <w:rsid w:val="00D23C3E"/>
    <w:rsid w:val="00D25E8B"/>
    <w:rsid w:val="00D271FC"/>
    <w:rsid w:val="00D27ED5"/>
    <w:rsid w:val="00D305C7"/>
    <w:rsid w:val="00D3087A"/>
    <w:rsid w:val="00D31BAD"/>
    <w:rsid w:val="00D323D6"/>
    <w:rsid w:val="00D32FB6"/>
    <w:rsid w:val="00D345DF"/>
    <w:rsid w:val="00D34927"/>
    <w:rsid w:val="00D35349"/>
    <w:rsid w:val="00D35DE7"/>
    <w:rsid w:val="00D362FA"/>
    <w:rsid w:val="00D37833"/>
    <w:rsid w:val="00D37EA8"/>
    <w:rsid w:val="00D37FB7"/>
    <w:rsid w:val="00D436A6"/>
    <w:rsid w:val="00D501A0"/>
    <w:rsid w:val="00D51088"/>
    <w:rsid w:val="00D5210C"/>
    <w:rsid w:val="00D52C0A"/>
    <w:rsid w:val="00D53225"/>
    <w:rsid w:val="00D54D66"/>
    <w:rsid w:val="00D55081"/>
    <w:rsid w:val="00D62A50"/>
    <w:rsid w:val="00D635F0"/>
    <w:rsid w:val="00D64B70"/>
    <w:rsid w:val="00D65636"/>
    <w:rsid w:val="00D667C3"/>
    <w:rsid w:val="00D66E92"/>
    <w:rsid w:val="00D67571"/>
    <w:rsid w:val="00D67CC2"/>
    <w:rsid w:val="00D67EA3"/>
    <w:rsid w:val="00D72CBF"/>
    <w:rsid w:val="00D7434A"/>
    <w:rsid w:val="00D750E9"/>
    <w:rsid w:val="00D75148"/>
    <w:rsid w:val="00D76C1A"/>
    <w:rsid w:val="00D77FEC"/>
    <w:rsid w:val="00D80303"/>
    <w:rsid w:val="00D8040D"/>
    <w:rsid w:val="00D80679"/>
    <w:rsid w:val="00D81006"/>
    <w:rsid w:val="00D82BF3"/>
    <w:rsid w:val="00D864FF"/>
    <w:rsid w:val="00D87386"/>
    <w:rsid w:val="00D877C7"/>
    <w:rsid w:val="00D87F4F"/>
    <w:rsid w:val="00D90F99"/>
    <w:rsid w:val="00D913FE"/>
    <w:rsid w:val="00D91CAE"/>
    <w:rsid w:val="00D92749"/>
    <w:rsid w:val="00D9364E"/>
    <w:rsid w:val="00D938B1"/>
    <w:rsid w:val="00D956B6"/>
    <w:rsid w:val="00DA01D4"/>
    <w:rsid w:val="00DA1ADE"/>
    <w:rsid w:val="00DA383F"/>
    <w:rsid w:val="00DA48C2"/>
    <w:rsid w:val="00DA50DC"/>
    <w:rsid w:val="00DA5E7D"/>
    <w:rsid w:val="00DA655D"/>
    <w:rsid w:val="00DB31E0"/>
    <w:rsid w:val="00DB3320"/>
    <w:rsid w:val="00DB6EFE"/>
    <w:rsid w:val="00DB7598"/>
    <w:rsid w:val="00DC0532"/>
    <w:rsid w:val="00DC0C0A"/>
    <w:rsid w:val="00DC1631"/>
    <w:rsid w:val="00DC164B"/>
    <w:rsid w:val="00DC5605"/>
    <w:rsid w:val="00DC57F8"/>
    <w:rsid w:val="00DD36EC"/>
    <w:rsid w:val="00DD569C"/>
    <w:rsid w:val="00DE2541"/>
    <w:rsid w:val="00DE296B"/>
    <w:rsid w:val="00DE337F"/>
    <w:rsid w:val="00DE4625"/>
    <w:rsid w:val="00DE6D61"/>
    <w:rsid w:val="00DF00CA"/>
    <w:rsid w:val="00DF09F6"/>
    <w:rsid w:val="00DF22C0"/>
    <w:rsid w:val="00DF4CEC"/>
    <w:rsid w:val="00DF4D68"/>
    <w:rsid w:val="00DF563A"/>
    <w:rsid w:val="00DF5C36"/>
    <w:rsid w:val="00DF5E60"/>
    <w:rsid w:val="00E00545"/>
    <w:rsid w:val="00E02227"/>
    <w:rsid w:val="00E03F3A"/>
    <w:rsid w:val="00E11D12"/>
    <w:rsid w:val="00E11D98"/>
    <w:rsid w:val="00E127C3"/>
    <w:rsid w:val="00E1370C"/>
    <w:rsid w:val="00E14161"/>
    <w:rsid w:val="00E15FD8"/>
    <w:rsid w:val="00E202D0"/>
    <w:rsid w:val="00E207D2"/>
    <w:rsid w:val="00E213D4"/>
    <w:rsid w:val="00E21B85"/>
    <w:rsid w:val="00E21E6A"/>
    <w:rsid w:val="00E21F7B"/>
    <w:rsid w:val="00E22A83"/>
    <w:rsid w:val="00E232C1"/>
    <w:rsid w:val="00E233C1"/>
    <w:rsid w:val="00E25F6B"/>
    <w:rsid w:val="00E272BB"/>
    <w:rsid w:val="00E2789D"/>
    <w:rsid w:val="00E3278E"/>
    <w:rsid w:val="00E3297C"/>
    <w:rsid w:val="00E32E00"/>
    <w:rsid w:val="00E33C3E"/>
    <w:rsid w:val="00E33CFE"/>
    <w:rsid w:val="00E40699"/>
    <w:rsid w:val="00E40892"/>
    <w:rsid w:val="00E453A7"/>
    <w:rsid w:val="00E45BA7"/>
    <w:rsid w:val="00E506DB"/>
    <w:rsid w:val="00E50823"/>
    <w:rsid w:val="00E512E3"/>
    <w:rsid w:val="00E5329E"/>
    <w:rsid w:val="00E54757"/>
    <w:rsid w:val="00E56393"/>
    <w:rsid w:val="00E56A44"/>
    <w:rsid w:val="00E617B8"/>
    <w:rsid w:val="00E62441"/>
    <w:rsid w:val="00E668BA"/>
    <w:rsid w:val="00E70148"/>
    <w:rsid w:val="00E70779"/>
    <w:rsid w:val="00E70906"/>
    <w:rsid w:val="00E752EF"/>
    <w:rsid w:val="00E75DD6"/>
    <w:rsid w:val="00E77205"/>
    <w:rsid w:val="00E842AF"/>
    <w:rsid w:val="00E84A83"/>
    <w:rsid w:val="00E84BEC"/>
    <w:rsid w:val="00E853D5"/>
    <w:rsid w:val="00E85C5B"/>
    <w:rsid w:val="00E86166"/>
    <w:rsid w:val="00E86D10"/>
    <w:rsid w:val="00E90B50"/>
    <w:rsid w:val="00E9335C"/>
    <w:rsid w:val="00E953A0"/>
    <w:rsid w:val="00EA5A85"/>
    <w:rsid w:val="00EA6194"/>
    <w:rsid w:val="00EB2C6D"/>
    <w:rsid w:val="00EB4471"/>
    <w:rsid w:val="00EB4ACE"/>
    <w:rsid w:val="00EB6220"/>
    <w:rsid w:val="00EC46BF"/>
    <w:rsid w:val="00EC7FE7"/>
    <w:rsid w:val="00ED136B"/>
    <w:rsid w:val="00ED13E1"/>
    <w:rsid w:val="00ED1DF1"/>
    <w:rsid w:val="00ED219E"/>
    <w:rsid w:val="00ED3496"/>
    <w:rsid w:val="00ED358A"/>
    <w:rsid w:val="00ED37A8"/>
    <w:rsid w:val="00ED7ECE"/>
    <w:rsid w:val="00EE0CA9"/>
    <w:rsid w:val="00EE12C8"/>
    <w:rsid w:val="00EE26A6"/>
    <w:rsid w:val="00EE551C"/>
    <w:rsid w:val="00EE5884"/>
    <w:rsid w:val="00EE72CD"/>
    <w:rsid w:val="00EF288D"/>
    <w:rsid w:val="00EF47FA"/>
    <w:rsid w:val="00EF4DB3"/>
    <w:rsid w:val="00EF5365"/>
    <w:rsid w:val="00EF5F8B"/>
    <w:rsid w:val="00EF6D35"/>
    <w:rsid w:val="00EF6DD3"/>
    <w:rsid w:val="00F00EF0"/>
    <w:rsid w:val="00F0301A"/>
    <w:rsid w:val="00F03074"/>
    <w:rsid w:val="00F03B69"/>
    <w:rsid w:val="00F051FB"/>
    <w:rsid w:val="00F055E4"/>
    <w:rsid w:val="00F05A32"/>
    <w:rsid w:val="00F05F33"/>
    <w:rsid w:val="00F070EE"/>
    <w:rsid w:val="00F11D84"/>
    <w:rsid w:val="00F1209F"/>
    <w:rsid w:val="00F1269D"/>
    <w:rsid w:val="00F12AB2"/>
    <w:rsid w:val="00F12E74"/>
    <w:rsid w:val="00F13612"/>
    <w:rsid w:val="00F1405C"/>
    <w:rsid w:val="00F15BEF"/>
    <w:rsid w:val="00F16B1E"/>
    <w:rsid w:val="00F17E0C"/>
    <w:rsid w:val="00F21DAA"/>
    <w:rsid w:val="00F22138"/>
    <w:rsid w:val="00F241EB"/>
    <w:rsid w:val="00F24FAE"/>
    <w:rsid w:val="00F2538A"/>
    <w:rsid w:val="00F30CF3"/>
    <w:rsid w:val="00F3136E"/>
    <w:rsid w:val="00F31C3B"/>
    <w:rsid w:val="00F332BD"/>
    <w:rsid w:val="00F33EC1"/>
    <w:rsid w:val="00F342D0"/>
    <w:rsid w:val="00F377EF"/>
    <w:rsid w:val="00F41333"/>
    <w:rsid w:val="00F42557"/>
    <w:rsid w:val="00F426C1"/>
    <w:rsid w:val="00F42C69"/>
    <w:rsid w:val="00F43684"/>
    <w:rsid w:val="00F447E5"/>
    <w:rsid w:val="00F45A65"/>
    <w:rsid w:val="00F5223A"/>
    <w:rsid w:val="00F52A24"/>
    <w:rsid w:val="00F54EB8"/>
    <w:rsid w:val="00F550EB"/>
    <w:rsid w:val="00F55DB4"/>
    <w:rsid w:val="00F56AA1"/>
    <w:rsid w:val="00F57D20"/>
    <w:rsid w:val="00F60321"/>
    <w:rsid w:val="00F617FF"/>
    <w:rsid w:val="00F64A4F"/>
    <w:rsid w:val="00F71141"/>
    <w:rsid w:val="00F726E9"/>
    <w:rsid w:val="00F75FD5"/>
    <w:rsid w:val="00F76FD2"/>
    <w:rsid w:val="00F77376"/>
    <w:rsid w:val="00F77908"/>
    <w:rsid w:val="00F779D5"/>
    <w:rsid w:val="00F77C01"/>
    <w:rsid w:val="00F804FC"/>
    <w:rsid w:val="00F806F9"/>
    <w:rsid w:val="00F80754"/>
    <w:rsid w:val="00F80AAB"/>
    <w:rsid w:val="00F81837"/>
    <w:rsid w:val="00F82284"/>
    <w:rsid w:val="00F827F3"/>
    <w:rsid w:val="00F82BC7"/>
    <w:rsid w:val="00F84730"/>
    <w:rsid w:val="00F84BB6"/>
    <w:rsid w:val="00F863A3"/>
    <w:rsid w:val="00F86959"/>
    <w:rsid w:val="00F92166"/>
    <w:rsid w:val="00F94A3C"/>
    <w:rsid w:val="00F97E11"/>
    <w:rsid w:val="00FA04C7"/>
    <w:rsid w:val="00FA5E6D"/>
    <w:rsid w:val="00FA61D3"/>
    <w:rsid w:val="00FA6CA1"/>
    <w:rsid w:val="00FB0BDD"/>
    <w:rsid w:val="00FB14AB"/>
    <w:rsid w:val="00FB5143"/>
    <w:rsid w:val="00FB533A"/>
    <w:rsid w:val="00FB54A1"/>
    <w:rsid w:val="00FB5B2D"/>
    <w:rsid w:val="00FC14B0"/>
    <w:rsid w:val="00FC27A7"/>
    <w:rsid w:val="00FC317B"/>
    <w:rsid w:val="00FC548E"/>
    <w:rsid w:val="00FC69C3"/>
    <w:rsid w:val="00FD012B"/>
    <w:rsid w:val="00FD07F0"/>
    <w:rsid w:val="00FD144B"/>
    <w:rsid w:val="00FD3805"/>
    <w:rsid w:val="00FD6BFF"/>
    <w:rsid w:val="00FD725C"/>
    <w:rsid w:val="00FE00D0"/>
    <w:rsid w:val="00FE2911"/>
    <w:rsid w:val="00FE2CA6"/>
    <w:rsid w:val="00FE3124"/>
    <w:rsid w:val="00FE4897"/>
    <w:rsid w:val="00FE4FE8"/>
    <w:rsid w:val="00FE5DA9"/>
    <w:rsid w:val="00FE5EC6"/>
    <w:rsid w:val="00FE6A05"/>
    <w:rsid w:val="00FE7078"/>
    <w:rsid w:val="00FE7462"/>
    <w:rsid w:val="00FF0E68"/>
    <w:rsid w:val="00FF0F1D"/>
    <w:rsid w:val="00FF113F"/>
    <w:rsid w:val="00FF13B8"/>
    <w:rsid w:val="00FF17BB"/>
    <w:rsid w:val="00FF4E54"/>
    <w:rsid w:val="00FF5524"/>
    <w:rsid w:val="00FF70A8"/>
    <w:rsid w:val="00FF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14:docId w14:val="2AF05522"/>
  <w15:chartTrackingRefBased/>
  <w15:docId w15:val="{24606890-C6FF-4E46-AB22-EE11459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3A"/>
    <w:pPr>
      <w:widowControl w:val="0"/>
      <w:spacing w:line="240" w:lineRule="atLeast"/>
      <w:jc w:val="both"/>
    </w:pPr>
    <w:rPr>
      <w:rFonts w:ascii="Arial" w:hAnsi="Arial" w:cs="Arial"/>
      <w:sz w:val="22"/>
      <w:szCs w:val="22"/>
      <w:lang w:eastAsia="en-US"/>
    </w:rPr>
  </w:style>
  <w:style w:type="paragraph" w:styleId="Heading1">
    <w:name w:val="heading 1"/>
    <w:aliases w:val="Body"/>
    <w:basedOn w:val="Normal"/>
    <w:qFormat/>
    <w:pPr>
      <w:numPr>
        <w:numId w:val="10"/>
      </w:numPr>
      <w:tabs>
        <w:tab w:val="clear" w:pos="360"/>
        <w:tab w:val="left" w:pos="1440"/>
      </w:tabs>
      <w:spacing w:before="240" w:line="480" w:lineRule="atLeast"/>
      <w:ind w:left="720" w:hanging="720"/>
      <w:outlineLvl w:val="0"/>
    </w:pPr>
    <w:rPr>
      <w:kern w:val="28"/>
    </w:rPr>
  </w:style>
  <w:style w:type="paragraph" w:styleId="Heading2">
    <w:name w:val="heading 2"/>
    <w:basedOn w:val="Normal"/>
    <w:next w:val="Normal"/>
    <w:qFormat/>
    <w:rsid w:val="003E023A"/>
    <w:pPr>
      <w:keepNext/>
      <w:spacing w:before="240" w:line="240" w:lineRule="auto"/>
      <w:ind w:right="720"/>
      <w:outlineLvl w:val="1"/>
    </w:pPr>
    <w:rPr>
      <w:b/>
      <w:sz w:val="28"/>
      <w:szCs w:val="28"/>
    </w:rPr>
  </w:style>
  <w:style w:type="paragraph" w:styleId="Heading3">
    <w:name w:val="heading 3"/>
    <w:basedOn w:val="Normal"/>
    <w:next w:val="Normal"/>
    <w:qFormat/>
    <w:pPr>
      <w:keepNext/>
      <w:spacing w:before="240" w:line="240" w:lineRule="auto"/>
      <w:ind w:right="720"/>
      <w:outlineLvl w:val="2"/>
    </w:pPr>
  </w:style>
  <w:style w:type="paragraph" w:styleId="Heading4">
    <w:name w:val="heading 4"/>
    <w:basedOn w:val="Normal"/>
    <w:next w:val="Normal"/>
    <w:qFormat/>
    <w:pPr>
      <w:keepNext/>
      <w:spacing w:before="240" w:line="240" w:lineRule="auto"/>
      <w:ind w:right="720"/>
      <w:outlineLvl w:val="3"/>
    </w:pPr>
  </w:style>
  <w:style w:type="paragraph" w:styleId="Heading5">
    <w:name w:val="heading 5"/>
    <w:basedOn w:val="Normal"/>
    <w:next w:val="Normal"/>
    <w:qFormat/>
    <w:pPr>
      <w:keepNext/>
      <w:numPr>
        <w:ilvl w:val="4"/>
        <w:numId w:val="7"/>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qFormat/>
    <w:pPr>
      <w:keepNext/>
      <w:numPr>
        <w:ilvl w:val="5"/>
        <w:numId w:val="7"/>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qFormat/>
    <w:pPr>
      <w:keepNext/>
      <w:numPr>
        <w:ilvl w:val="6"/>
        <w:numId w:val="7"/>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qFormat/>
    <w:pPr>
      <w:keepNext/>
      <w:numPr>
        <w:ilvl w:val="7"/>
        <w:numId w:val="7"/>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qFormat/>
    <w:pPr>
      <w:keepNext/>
      <w:numPr>
        <w:ilvl w:val="8"/>
        <w:numId w:val="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96"/>
        <w:tab w:val="right" w:pos="9792"/>
      </w:tabs>
    </w:pPr>
  </w:style>
  <w:style w:type="paragraph" w:styleId="Footer">
    <w:name w:val="footer"/>
    <w:basedOn w:val="Normal"/>
    <w:link w:val="FooterChar"/>
    <w:uiPriority w:val="99"/>
    <w:pPr>
      <w:tabs>
        <w:tab w:val="center" w:pos="4896"/>
        <w:tab w:val="right" w:pos="9792"/>
      </w:tabs>
      <w:spacing w:line="240" w:lineRule="auto"/>
      <w:jc w:val="left"/>
    </w:pPr>
  </w:style>
  <w:style w:type="paragraph" w:styleId="FootnoteText">
    <w:name w:val="footnote text"/>
    <w:basedOn w:val="Normal"/>
    <w:semiHidden/>
    <w:pPr>
      <w:spacing w:before="120" w:line="240" w:lineRule="auto"/>
      <w:ind w:left="1440" w:hanging="720"/>
    </w:pPr>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customStyle="1" w:styleId="Quote1">
    <w:name w:val="Quote1"/>
    <w:basedOn w:val="Normal"/>
    <w:rsid w:val="00D031A2"/>
    <w:pPr>
      <w:spacing w:before="240" w:line="240" w:lineRule="auto"/>
      <w:ind w:left="1440" w:right="720"/>
    </w:pPr>
  </w:style>
  <w:style w:type="paragraph" w:customStyle="1" w:styleId="SideHeading">
    <w:name w:val="Side Heading"/>
    <w:basedOn w:val="Normal"/>
    <w:pPr>
      <w:spacing w:before="600" w:line="240" w:lineRule="auto"/>
      <w:ind w:left="720" w:right="720"/>
    </w:pPr>
    <w:rPr>
      <w:b/>
      <w:i/>
    </w:rPr>
  </w:style>
  <w:style w:type="paragraph" w:customStyle="1" w:styleId="Para-Indent">
    <w:name w:val="Para - Indent"/>
    <w:basedOn w:val="Normal"/>
    <w:pPr>
      <w:spacing w:line="480" w:lineRule="atLeast"/>
      <w:ind w:left="2160" w:hanging="720"/>
    </w:pPr>
  </w:style>
  <w:style w:type="paragraph" w:customStyle="1" w:styleId="Normal-Indent">
    <w:name w:val="Normal - Indent"/>
    <w:basedOn w:val="Normal"/>
    <w:pPr>
      <w:spacing w:line="480" w:lineRule="atLeast"/>
      <w:ind w:left="720"/>
    </w:pPr>
  </w:style>
  <w:style w:type="paragraph" w:styleId="BalloonText">
    <w:name w:val="Balloon Text"/>
    <w:basedOn w:val="Normal"/>
    <w:link w:val="BalloonTextChar"/>
    <w:rsid w:val="005D7480"/>
    <w:pPr>
      <w:spacing w:line="240" w:lineRule="auto"/>
    </w:pPr>
    <w:rPr>
      <w:rFonts w:ascii="Tahoma" w:hAnsi="Tahoma" w:cs="Tahoma"/>
      <w:sz w:val="16"/>
      <w:szCs w:val="16"/>
    </w:rPr>
  </w:style>
  <w:style w:type="paragraph" w:customStyle="1" w:styleId="Normal-Cover">
    <w:name w:val="Normal-Cover"/>
    <w:basedOn w:val="Normal"/>
    <w:pPr>
      <w:spacing w:line="240" w:lineRule="auto"/>
      <w:jc w:val="left"/>
    </w:pPr>
  </w:style>
  <w:style w:type="paragraph" w:customStyle="1" w:styleId="Footer-Web">
    <w:name w:val="Footer-Web"/>
    <w:basedOn w:val="Footer"/>
    <w:rPr>
      <w:sz w:val="18"/>
    </w:rPr>
  </w:style>
  <w:style w:type="paragraph" w:customStyle="1" w:styleId="Footer-Cover">
    <w:name w:val="Footer-Cover"/>
    <w:basedOn w:val="Normal"/>
    <w:pPr>
      <w:spacing w:line="240" w:lineRule="auto"/>
    </w:pPr>
    <w:rPr>
      <w:sz w:val="20"/>
    </w:rPr>
  </w:style>
  <w:style w:type="paragraph" w:customStyle="1" w:styleId="Normal-Cert">
    <w:name w:val="Normal-Cert"/>
    <w:basedOn w:val="Normal"/>
    <w:pPr>
      <w:keepNext/>
      <w:keepLines/>
      <w:spacing w:line="240" w:lineRule="auto"/>
    </w:pPr>
  </w:style>
  <w:style w:type="paragraph" w:customStyle="1" w:styleId="Footer-TB">
    <w:name w:val="Footer-TB"/>
    <w:basedOn w:val="Footer-Web"/>
    <w:next w:val="Footer-Web"/>
    <w:pPr>
      <w:pBdr>
        <w:top w:val="single" w:sz="4" w:space="3" w:color="auto"/>
      </w:pBdr>
    </w:pPr>
  </w:style>
  <w:style w:type="paragraph" w:customStyle="1" w:styleId="Bullet">
    <w:name w:val="Bullet"/>
    <w:basedOn w:val="Para-Indent"/>
    <w:pPr>
      <w:numPr>
        <w:numId w:val="12"/>
      </w:numPr>
      <w:tabs>
        <w:tab w:val="clear" w:pos="2291"/>
        <w:tab w:val="left" w:pos="2007"/>
      </w:tabs>
      <w:spacing w:before="120" w:after="120" w:line="400" w:lineRule="atLeast"/>
      <w:ind w:left="2007" w:right="567" w:hanging="567"/>
    </w:pPr>
  </w:style>
  <w:style w:type="character" w:customStyle="1" w:styleId="BalloonTextChar">
    <w:name w:val="Balloon Text Char"/>
    <w:link w:val="BalloonText"/>
    <w:rsid w:val="005D7480"/>
    <w:rPr>
      <w:rFonts w:ascii="Tahoma" w:hAnsi="Tahoma" w:cs="Tahoma"/>
      <w:sz w:val="16"/>
      <w:szCs w:val="16"/>
      <w:lang w:eastAsia="en-US"/>
    </w:rPr>
  </w:style>
  <w:style w:type="character" w:customStyle="1" w:styleId="italic1">
    <w:name w:val="italic1"/>
    <w:rsid w:val="00C83CCB"/>
    <w:rPr>
      <w:i/>
      <w:iCs/>
    </w:rPr>
  </w:style>
  <w:style w:type="paragraph" w:customStyle="1" w:styleId="SpeechH1">
    <w:name w:val="Speech H1"/>
    <w:basedOn w:val="Normal"/>
    <w:link w:val="SpeechH1Char"/>
    <w:qFormat/>
    <w:rsid w:val="004D75E1"/>
    <w:pPr>
      <w:tabs>
        <w:tab w:val="left" w:pos="1440"/>
      </w:tabs>
      <w:jc w:val="center"/>
    </w:pPr>
    <w:rPr>
      <w:b/>
      <w:sz w:val="32"/>
      <w:szCs w:val="32"/>
    </w:rPr>
  </w:style>
  <w:style w:type="character" w:customStyle="1" w:styleId="SpeechH1Char">
    <w:name w:val="Speech H1 Char"/>
    <w:link w:val="SpeechH1"/>
    <w:rsid w:val="004D75E1"/>
    <w:rPr>
      <w:rFonts w:ascii="Arial" w:hAnsi="Arial" w:cs="Arial"/>
      <w:b/>
      <w:sz w:val="32"/>
      <w:szCs w:val="32"/>
      <w:lang w:eastAsia="en-US"/>
    </w:rPr>
  </w:style>
  <w:style w:type="character" w:customStyle="1" w:styleId="FooterChar">
    <w:name w:val="Footer Char"/>
    <w:link w:val="Footer"/>
    <w:uiPriority w:val="99"/>
    <w:rsid w:val="008B47A0"/>
    <w:rPr>
      <w:rFonts w:ascii="Book Antiqua" w:hAnsi="Book Antiqua"/>
      <w:sz w:val="24"/>
      <w:lang w:eastAsia="en-US"/>
    </w:rPr>
  </w:style>
  <w:style w:type="character" w:styleId="CommentReference">
    <w:name w:val="annotation reference"/>
    <w:rsid w:val="00735563"/>
    <w:rPr>
      <w:sz w:val="16"/>
      <w:szCs w:val="16"/>
    </w:rPr>
  </w:style>
  <w:style w:type="paragraph" w:styleId="CommentText">
    <w:name w:val="annotation text"/>
    <w:basedOn w:val="Normal"/>
    <w:link w:val="CommentTextChar"/>
    <w:rsid w:val="00735563"/>
    <w:rPr>
      <w:sz w:val="20"/>
    </w:rPr>
  </w:style>
  <w:style w:type="character" w:customStyle="1" w:styleId="CommentTextChar">
    <w:name w:val="Comment Text Char"/>
    <w:link w:val="CommentText"/>
    <w:rsid w:val="00735563"/>
    <w:rPr>
      <w:rFonts w:ascii="Book Antiqua" w:hAnsi="Book Antiqua"/>
      <w:lang w:eastAsia="en-US"/>
    </w:rPr>
  </w:style>
  <w:style w:type="paragraph" w:styleId="CommentSubject">
    <w:name w:val="annotation subject"/>
    <w:basedOn w:val="CommentText"/>
    <w:next w:val="CommentText"/>
    <w:link w:val="CommentSubjectChar"/>
    <w:rsid w:val="00735563"/>
    <w:rPr>
      <w:b/>
      <w:bCs/>
    </w:rPr>
  </w:style>
  <w:style w:type="character" w:customStyle="1" w:styleId="CommentSubjectChar">
    <w:name w:val="Comment Subject Char"/>
    <w:link w:val="CommentSubject"/>
    <w:rsid w:val="00735563"/>
    <w:rPr>
      <w:rFonts w:ascii="Book Antiqua" w:hAnsi="Book Antiqua"/>
      <w:b/>
      <w:bCs/>
      <w:lang w:eastAsia="en-US"/>
    </w:rPr>
  </w:style>
  <w:style w:type="paragraph" w:styleId="BodyText">
    <w:name w:val="Body Text"/>
    <w:basedOn w:val="Normal"/>
    <w:link w:val="BodyTextChar"/>
    <w:rsid w:val="004722B0"/>
    <w:pPr>
      <w:widowControl/>
      <w:spacing w:after="240" w:line="240" w:lineRule="auto"/>
      <w:ind w:left="720" w:right="924"/>
    </w:pPr>
    <w:rPr>
      <w:rFonts w:ascii="Times New Roman" w:hAnsi="Times New Roman" w:cs="Times New Roman"/>
      <w:szCs w:val="24"/>
      <w:lang w:eastAsia="en-AU"/>
    </w:rPr>
  </w:style>
  <w:style w:type="character" w:customStyle="1" w:styleId="BodyTextChar">
    <w:name w:val="Body Text Char"/>
    <w:basedOn w:val="DefaultParagraphFont"/>
    <w:link w:val="BodyText"/>
    <w:rsid w:val="004722B0"/>
    <w:rPr>
      <w:sz w:val="22"/>
      <w:szCs w:val="24"/>
    </w:rPr>
  </w:style>
  <w:style w:type="character" w:styleId="Hyperlink">
    <w:name w:val="Hyperlink"/>
    <w:rsid w:val="004722B0"/>
    <w:rPr>
      <w:rFonts w:ascii="Verdana" w:hAnsi="Verdana" w:hint="default"/>
      <w:strike w:val="0"/>
      <w:dstrike w:val="0"/>
      <w:color w:val="3300CC"/>
      <w:u w:val="none"/>
      <w:effect w:val="none"/>
    </w:rPr>
  </w:style>
  <w:style w:type="character" w:styleId="Emphasis">
    <w:name w:val="Emphasis"/>
    <w:qFormat/>
    <w:rsid w:val="004722B0"/>
    <w:rPr>
      <w:b/>
      <w:bCs/>
      <w:i w:val="0"/>
      <w:iCs w:val="0"/>
    </w:rPr>
  </w:style>
  <w:style w:type="character" w:customStyle="1" w:styleId="citation">
    <w:name w:val="citation"/>
    <w:rsid w:val="0047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60464">
      <w:bodyDiv w:val="1"/>
      <w:marLeft w:val="0"/>
      <w:marRight w:val="0"/>
      <w:marTop w:val="0"/>
      <w:marBottom w:val="0"/>
      <w:divBdr>
        <w:top w:val="none" w:sz="0" w:space="0" w:color="auto"/>
        <w:left w:val="none" w:sz="0" w:space="0" w:color="auto"/>
        <w:bottom w:val="none" w:sz="0" w:space="0" w:color="auto"/>
        <w:right w:val="none" w:sz="0" w:space="0" w:color="auto"/>
      </w:divBdr>
    </w:div>
    <w:div w:id="1302078273">
      <w:bodyDiv w:val="1"/>
      <w:marLeft w:val="0"/>
      <w:marRight w:val="0"/>
      <w:marTop w:val="0"/>
      <w:marBottom w:val="0"/>
      <w:divBdr>
        <w:top w:val="none" w:sz="0" w:space="0" w:color="auto"/>
        <w:left w:val="none" w:sz="0" w:space="0" w:color="auto"/>
        <w:bottom w:val="none" w:sz="0" w:space="0" w:color="auto"/>
        <w:right w:val="none" w:sz="0" w:space="0" w:color="auto"/>
      </w:divBdr>
      <w:divsChild>
        <w:div w:id="793598737">
          <w:marLeft w:val="75"/>
          <w:marRight w:val="75"/>
          <w:marTop w:val="0"/>
          <w:marBottom w:val="0"/>
          <w:divBdr>
            <w:top w:val="none" w:sz="0" w:space="0" w:color="auto"/>
            <w:left w:val="none" w:sz="0" w:space="0" w:color="auto"/>
            <w:bottom w:val="none" w:sz="0" w:space="0" w:color="auto"/>
            <w:right w:val="none" w:sz="0" w:space="0" w:color="auto"/>
          </w:divBdr>
          <w:divsChild>
            <w:div w:id="2019190345">
              <w:marLeft w:val="0"/>
              <w:marRight w:val="0"/>
              <w:marTop w:val="0"/>
              <w:marBottom w:val="105"/>
              <w:divBdr>
                <w:top w:val="none" w:sz="0" w:space="0" w:color="auto"/>
                <w:left w:val="none" w:sz="0" w:space="0" w:color="auto"/>
                <w:bottom w:val="none" w:sz="0" w:space="0" w:color="auto"/>
                <w:right w:val="none" w:sz="0" w:space="0" w:color="auto"/>
              </w:divBdr>
              <w:divsChild>
                <w:div w:id="2011830564">
                  <w:marLeft w:val="0"/>
                  <w:marRight w:val="0"/>
                  <w:marTop w:val="105"/>
                  <w:marBottom w:val="0"/>
                  <w:divBdr>
                    <w:top w:val="none" w:sz="0" w:space="0" w:color="auto"/>
                    <w:left w:val="none" w:sz="0" w:space="0" w:color="auto"/>
                    <w:bottom w:val="none" w:sz="0" w:space="0" w:color="auto"/>
                    <w:right w:val="none" w:sz="0" w:space="0" w:color="auto"/>
                  </w:divBdr>
                  <w:divsChild>
                    <w:div w:id="1622344877">
                      <w:marLeft w:val="0"/>
                      <w:marRight w:val="0"/>
                      <w:marTop w:val="0"/>
                      <w:marBottom w:val="315"/>
                      <w:divBdr>
                        <w:top w:val="none" w:sz="0" w:space="0" w:color="auto"/>
                        <w:left w:val="none" w:sz="0" w:space="0" w:color="auto"/>
                        <w:bottom w:val="none" w:sz="0" w:space="0" w:color="auto"/>
                        <w:right w:val="none" w:sz="0" w:space="0" w:color="auto"/>
                      </w:divBdr>
                      <w:divsChild>
                        <w:div w:id="1076903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5388">
      <w:bodyDiv w:val="1"/>
      <w:marLeft w:val="0"/>
      <w:marRight w:val="0"/>
      <w:marTop w:val="0"/>
      <w:marBottom w:val="0"/>
      <w:divBdr>
        <w:top w:val="none" w:sz="0" w:space="0" w:color="auto"/>
        <w:left w:val="none" w:sz="0" w:space="0" w:color="auto"/>
        <w:bottom w:val="none" w:sz="0" w:space="0" w:color="auto"/>
        <w:right w:val="none" w:sz="0" w:space="0" w:color="auto"/>
      </w:divBdr>
      <w:divsChild>
        <w:div w:id="785854483">
          <w:marLeft w:val="75"/>
          <w:marRight w:val="75"/>
          <w:marTop w:val="0"/>
          <w:marBottom w:val="0"/>
          <w:divBdr>
            <w:top w:val="none" w:sz="0" w:space="0" w:color="auto"/>
            <w:left w:val="none" w:sz="0" w:space="0" w:color="auto"/>
            <w:bottom w:val="none" w:sz="0" w:space="0" w:color="auto"/>
            <w:right w:val="none" w:sz="0" w:space="0" w:color="auto"/>
          </w:divBdr>
          <w:divsChild>
            <w:div w:id="528252217">
              <w:marLeft w:val="0"/>
              <w:marRight w:val="0"/>
              <w:marTop w:val="0"/>
              <w:marBottom w:val="105"/>
              <w:divBdr>
                <w:top w:val="none" w:sz="0" w:space="0" w:color="auto"/>
                <w:left w:val="none" w:sz="0" w:space="0" w:color="auto"/>
                <w:bottom w:val="none" w:sz="0" w:space="0" w:color="auto"/>
                <w:right w:val="none" w:sz="0" w:space="0" w:color="auto"/>
              </w:divBdr>
              <w:divsChild>
                <w:div w:id="528757297">
                  <w:marLeft w:val="0"/>
                  <w:marRight w:val="0"/>
                  <w:marTop w:val="105"/>
                  <w:marBottom w:val="0"/>
                  <w:divBdr>
                    <w:top w:val="none" w:sz="0" w:space="0" w:color="auto"/>
                    <w:left w:val="none" w:sz="0" w:space="0" w:color="auto"/>
                    <w:bottom w:val="none" w:sz="0" w:space="0" w:color="auto"/>
                    <w:right w:val="none" w:sz="0" w:space="0" w:color="auto"/>
                  </w:divBdr>
                  <w:divsChild>
                    <w:div w:id="675883622">
                      <w:marLeft w:val="0"/>
                      <w:marRight w:val="0"/>
                      <w:marTop w:val="0"/>
                      <w:marBottom w:val="105"/>
                      <w:divBdr>
                        <w:top w:val="none" w:sz="0" w:space="0" w:color="auto"/>
                        <w:left w:val="none" w:sz="0" w:space="0" w:color="auto"/>
                        <w:bottom w:val="none" w:sz="0" w:space="0" w:color="auto"/>
                        <w:right w:val="none" w:sz="0" w:space="0" w:color="auto"/>
                      </w:divBdr>
                      <w:divsChild>
                        <w:div w:id="78060497">
                          <w:marLeft w:val="0"/>
                          <w:marRight w:val="0"/>
                          <w:marTop w:val="105"/>
                          <w:marBottom w:val="0"/>
                          <w:divBdr>
                            <w:top w:val="none" w:sz="0" w:space="0" w:color="auto"/>
                            <w:left w:val="none" w:sz="0" w:space="0" w:color="auto"/>
                            <w:bottom w:val="none" w:sz="0" w:space="0" w:color="auto"/>
                            <w:right w:val="none" w:sz="0" w:space="0" w:color="auto"/>
                          </w:divBdr>
                          <w:divsChild>
                            <w:div w:id="2122063644">
                              <w:marLeft w:val="0"/>
                              <w:marRight w:val="0"/>
                              <w:marTop w:val="0"/>
                              <w:marBottom w:val="105"/>
                              <w:divBdr>
                                <w:top w:val="none" w:sz="0" w:space="0" w:color="auto"/>
                                <w:left w:val="none" w:sz="0" w:space="0" w:color="auto"/>
                                <w:bottom w:val="none" w:sz="0" w:space="0" w:color="auto"/>
                                <w:right w:val="none" w:sz="0" w:space="0" w:color="auto"/>
                              </w:divBdr>
                              <w:divsChild>
                                <w:div w:id="761726122">
                                  <w:marLeft w:val="0"/>
                                  <w:marRight w:val="0"/>
                                  <w:marTop w:val="105"/>
                                  <w:marBottom w:val="0"/>
                                  <w:divBdr>
                                    <w:top w:val="none" w:sz="0" w:space="0" w:color="auto"/>
                                    <w:left w:val="none" w:sz="0" w:space="0" w:color="auto"/>
                                    <w:bottom w:val="none" w:sz="0" w:space="0" w:color="auto"/>
                                    <w:right w:val="none" w:sz="0" w:space="0" w:color="auto"/>
                                  </w:divBdr>
                                  <w:divsChild>
                                    <w:div w:id="1949265619">
                                      <w:marLeft w:val="0"/>
                                      <w:marRight w:val="0"/>
                                      <w:marTop w:val="0"/>
                                      <w:marBottom w:val="105"/>
                                      <w:divBdr>
                                        <w:top w:val="none" w:sz="0" w:space="0" w:color="auto"/>
                                        <w:left w:val="none" w:sz="0" w:space="0" w:color="auto"/>
                                        <w:bottom w:val="none" w:sz="0" w:space="0" w:color="auto"/>
                                        <w:right w:val="none" w:sz="0" w:space="0" w:color="auto"/>
                                      </w:divBdr>
                                      <w:divsChild>
                                        <w:div w:id="2018579373">
                                          <w:marLeft w:val="0"/>
                                          <w:marRight w:val="0"/>
                                          <w:marTop w:val="105"/>
                                          <w:marBottom w:val="0"/>
                                          <w:divBdr>
                                            <w:top w:val="none" w:sz="0" w:space="0" w:color="auto"/>
                                            <w:left w:val="none" w:sz="0" w:space="0" w:color="auto"/>
                                            <w:bottom w:val="none" w:sz="0" w:space="0" w:color="auto"/>
                                            <w:right w:val="none" w:sz="0" w:space="0" w:color="auto"/>
                                          </w:divBdr>
                                          <w:divsChild>
                                            <w:div w:id="1770544955">
                                              <w:marLeft w:val="0"/>
                                              <w:marRight w:val="0"/>
                                              <w:marTop w:val="105"/>
                                              <w:marBottom w:val="105"/>
                                              <w:divBdr>
                                                <w:top w:val="none" w:sz="0" w:space="0" w:color="auto"/>
                                                <w:left w:val="none" w:sz="0" w:space="0" w:color="auto"/>
                                                <w:bottom w:val="none" w:sz="0" w:space="0" w:color="auto"/>
                                                <w:right w:val="none" w:sz="0" w:space="0" w:color="auto"/>
                                              </w:divBdr>
                                              <w:divsChild>
                                                <w:div w:id="123288305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24558">
      <w:bodyDiv w:val="1"/>
      <w:marLeft w:val="0"/>
      <w:marRight w:val="0"/>
      <w:marTop w:val="0"/>
      <w:marBottom w:val="0"/>
      <w:divBdr>
        <w:top w:val="none" w:sz="0" w:space="0" w:color="auto"/>
        <w:left w:val="none" w:sz="0" w:space="0" w:color="auto"/>
        <w:bottom w:val="none" w:sz="0" w:space="0" w:color="auto"/>
        <w:right w:val="none" w:sz="0" w:space="0" w:color="auto"/>
      </w:divBdr>
    </w:div>
    <w:div w:id="1746564534">
      <w:bodyDiv w:val="1"/>
      <w:marLeft w:val="0"/>
      <w:marRight w:val="0"/>
      <w:marTop w:val="0"/>
      <w:marBottom w:val="0"/>
      <w:divBdr>
        <w:top w:val="none" w:sz="0" w:space="0" w:color="auto"/>
        <w:left w:val="none" w:sz="0" w:space="0" w:color="auto"/>
        <w:bottom w:val="none" w:sz="0" w:space="0" w:color="auto"/>
        <w:right w:val="none" w:sz="0" w:space="0" w:color="auto"/>
      </w:divBdr>
      <w:divsChild>
        <w:div w:id="921573290">
          <w:marLeft w:val="75"/>
          <w:marRight w:val="75"/>
          <w:marTop w:val="0"/>
          <w:marBottom w:val="0"/>
          <w:divBdr>
            <w:top w:val="none" w:sz="0" w:space="0" w:color="auto"/>
            <w:left w:val="none" w:sz="0" w:space="0" w:color="auto"/>
            <w:bottom w:val="none" w:sz="0" w:space="0" w:color="auto"/>
            <w:right w:val="none" w:sz="0" w:space="0" w:color="auto"/>
          </w:divBdr>
          <w:divsChild>
            <w:div w:id="1569877958">
              <w:marLeft w:val="0"/>
              <w:marRight w:val="0"/>
              <w:marTop w:val="0"/>
              <w:marBottom w:val="105"/>
              <w:divBdr>
                <w:top w:val="none" w:sz="0" w:space="0" w:color="auto"/>
                <w:left w:val="none" w:sz="0" w:space="0" w:color="auto"/>
                <w:bottom w:val="none" w:sz="0" w:space="0" w:color="auto"/>
                <w:right w:val="none" w:sz="0" w:space="0" w:color="auto"/>
              </w:divBdr>
              <w:divsChild>
                <w:div w:id="594941242">
                  <w:marLeft w:val="0"/>
                  <w:marRight w:val="0"/>
                  <w:marTop w:val="105"/>
                  <w:marBottom w:val="0"/>
                  <w:divBdr>
                    <w:top w:val="none" w:sz="0" w:space="0" w:color="auto"/>
                    <w:left w:val="none" w:sz="0" w:space="0" w:color="auto"/>
                    <w:bottom w:val="none" w:sz="0" w:space="0" w:color="auto"/>
                    <w:right w:val="none" w:sz="0" w:space="0" w:color="auto"/>
                  </w:divBdr>
                  <w:divsChild>
                    <w:div w:id="520051222">
                      <w:marLeft w:val="0"/>
                      <w:marRight w:val="0"/>
                      <w:marTop w:val="0"/>
                      <w:marBottom w:val="105"/>
                      <w:divBdr>
                        <w:top w:val="none" w:sz="0" w:space="0" w:color="auto"/>
                        <w:left w:val="none" w:sz="0" w:space="0" w:color="auto"/>
                        <w:bottom w:val="none" w:sz="0" w:space="0" w:color="auto"/>
                        <w:right w:val="none" w:sz="0" w:space="0" w:color="auto"/>
                      </w:divBdr>
                      <w:divsChild>
                        <w:div w:id="810291772">
                          <w:marLeft w:val="0"/>
                          <w:marRight w:val="0"/>
                          <w:marTop w:val="105"/>
                          <w:marBottom w:val="0"/>
                          <w:divBdr>
                            <w:top w:val="none" w:sz="0" w:space="0" w:color="auto"/>
                            <w:left w:val="none" w:sz="0" w:space="0" w:color="auto"/>
                            <w:bottom w:val="none" w:sz="0" w:space="0" w:color="auto"/>
                            <w:right w:val="none" w:sz="0" w:space="0" w:color="auto"/>
                          </w:divBdr>
                          <w:divsChild>
                            <w:div w:id="732582055">
                              <w:marLeft w:val="0"/>
                              <w:marRight w:val="0"/>
                              <w:marTop w:val="0"/>
                              <w:marBottom w:val="105"/>
                              <w:divBdr>
                                <w:top w:val="none" w:sz="0" w:space="0" w:color="auto"/>
                                <w:left w:val="none" w:sz="0" w:space="0" w:color="auto"/>
                                <w:bottom w:val="none" w:sz="0" w:space="0" w:color="auto"/>
                                <w:right w:val="none" w:sz="0" w:space="0" w:color="auto"/>
                              </w:divBdr>
                              <w:divsChild>
                                <w:div w:id="1878161341">
                                  <w:marLeft w:val="0"/>
                                  <w:marRight w:val="0"/>
                                  <w:marTop w:val="105"/>
                                  <w:marBottom w:val="0"/>
                                  <w:divBdr>
                                    <w:top w:val="none" w:sz="0" w:space="0" w:color="auto"/>
                                    <w:left w:val="none" w:sz="0" w:space="0" w:color="auto"/>
                                    <w:bottom w:val="none" w:sz="0" w:space="0" w:color="auto"/>
                                    <w:right w:val="none" w:sz="0" w:space="0" w:color="auto"/>
                                  </w:divBdr>
                                  <w:divsChild>
                                    <w:div w:id="1759018416">
                                      <w:marLeft w:val="0"/>
                                      <w:marRight w:val="0"/>
                                      <w:marTop w:val="0"/>
                                      <w:marBottom w:val="105"/>
                                      <w:divBdr>
                                        <w:top w:val="none" w:sz="0" w:space="0" w:color="auto"/>
                                        <w:left w:val="none" w:sz="0" w:space="0" w:color="auto"/>
                                        <w:bottom w:val="none" w:sz="0" w:space="0" w:color="auto"/>
                                        <w:right w:val="none" w:sz="0" w:space="0" w:color="auto"/>
                                      </w:divBdr>
                                      <w:divsChild>
                                        <w:div w:id="329480070">
                                          <w:marLeft w:val="0"/>
                                          <w:marRight w:val="0"/>
                                          <w:marTop w:val="105"/>
                                          <w:marBottom w:val="0"/>
                                          <w:divBdr>
                                            <w:top w:val="none" w:sz="0" w:space="0" w:color="auto"/>
                                            <w:left w:val="none" w:sz="0" w:space="0" w:color="auto"/>
                                            <w:bottom w:val="none" w:sz="0" w:space="0" w:color="auto"/>
                                            <w:right w:val="none" w:sz="0" w:space="0" w:color="auto"/>
                                          </w:divBdr>
                                          <w:divsChild>
                                            <w:div w:id="1834102314">
                                              <w:marLeft w:val="0"/>
                                              <w:marRight w:val="0"/>
                                              <w:marTop w:val="105"/>
                                              <w:marBottom w:val="105"/>
                                              <w:divBdr>
                                                <w:top w:val="none" w:sz="0" w:space="0" w:color="auto"/>
                                                <w:left w:val="none" w:sz="0" w:space="0" w:color="auto"/>
                                                <w:bottom w:val="none" w:sz="0" w:space="0" w:color="auto"/>
                                                <w:right w:val="none" w:sz="0" w:space="0" w:color="auto"/>
                                              </w:divBdr>
                                              <w:divsChild>
                                                <w:div w:id="160048629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591011">
      <w:bodyDiv w:val="1"/>
      <w:marLeft w:val="0"/>
      <w:marRight w:val="0"/>
      <w:marTop w:val="0"/>
      <w:marBottom w:val="0"/>
      <w:divBdr>
        <w:top w:val="none" w:sz="0" w:space="0" w:color="auto"/>
        <w:left w:val="none" w:sz="0" w:space="0" w:color="auto"/>
        <w:bottom w:val="none" w:sz="0" w:space="0" w:color="auto"/>
        <w:right w:val="none" w:sz="0" w:space="0" w:color="auto"/>
      </w:divBdr>
      <w:divsChild>
        <w:div w:id="858353221">
          <w:marLeft w:val="0"/>
          <w:marRight w:val="0"/>
          <w:marTop w:val="0"/>
          <w:marBottom w:val="0"/>
          <w:divBdr>
            <w:top w:val="none" w:sz="0" w:space="0" w:color="auto"/>
            <w:left w:val="none" w:sz="0" w:space="0" w:color="auto"/>
            <w:bottom w:val="none" w:sz="0" w:space="0" w:color="auto"/>
            <w:right w:val="none" w:sz="0" w:space="0" w:color="auto"/>
          </w:divBdr>
        </w:div>
      </w:divsChild>
    </w:div>
    <w:div w:id="2013069878">
      <w:bodyDiv w:val="1"/>
      <w:marLeft w:val="0"/>
      <w:marRight w:val="0"/>
      <w:marTop w:val="0"/>
      <w:marBottom w:val="0"/>
      <w:divBdr>
        <w:top w:val="none" w:sz="0" w:space="0" w:color="auto"/>
        <w:left w:val="none" w:sz="0" w:space="0" w:color="auto"/>
        <w:bottom w:val="none" w:sz="0" w:space="0" w:color="auto"/>
        <w:right w:val="none" w:sz="0" w:space="0" w:color="auto"/>
      </w:divBdr>
      <w:divsChild>
        <w:div w:id="465974684">
          <w:marLeft w:val="75"/>
          <w:marRight w:val="75"/>
          <w:marTop w:val="0"/>
          <w:marBottom w:val="0"/>
          <w:divBdr>
            <w:top w:val="none" w:sz="0" w:space="0" w:color="auto"/>
            <w:left w:val="none" w:sz="0" w:space="0" w:color="auto"/>
            <w:bottom w:val="none" w:sz="0" w:space="0" w:color="auto"/>
            <w:right w:val="none" w:sz="0" w:space="0" w:color="auto"/>
          </w:divBdr>
          <w:divsChild>
            <w:div w:id="206374222">
              <w:marLeft w:val="0"/>
              <w:marRight w:val="0"/>
              <w:marTop w:val="0"/>
              <w:marBottom w:val="105"/>
              <w:divBdr>
                <w:top w:val="none" w:sz="0" w:space="0" w:color="auto"/>
                <w:left w:val="none" w:sz="0" w:space="0" w:color="auto"/>
                <w:bottom w:val="none" w:sz="0" w:space="0" w:color="auto"/>
                <w:right w:val="none" w:sz="0" w:space="0" w:color="auto"/>
              </w:divBdr>
              <w:divsChild>
                <w:div w:id="1662268763">
                  <w:marLeft w:val="0"/>
                  <w:marRight w:val="0"/>
                  <w:marTop w:val="105"/>
                  <w:marBottom w:val="0"/>
                  <w:divBdr>
                    <w:top w:val="none" w:sz="0" w:space="0" w:color="auto"/>
                    <w:left w:val="none" w:sz="0" w:space="0" w:color="auto"/>
                    <w:bottom w:val="none" w:sz="0" w:space="0" w:color="auto"/>
                    <w:right w:val="none" w:sz="0" w:space="0" w:color="auto"/>
                  </w:divBdr>
                  <w:divsChild>
                    <w:div w:id="776680447">
                      <w:marLeft w:val="0"/>
                      <w:marRight w:val="0"/>
                      <w:marTop w:val="0"/>
                      <w:marBottom w:val="105"/>
                      <w:divBdr>
                        <w:top w:val="none" w:sz="0" w:space="0" w:color="auto"/>
                        <w:left w:val="none" w:sz="0" w:space="0" w:color="auto"/>
                        <w:bottom w:val="none" w:sz="0" w:space="0" w:color="auto"/>
                        <w:right w:val="none" w:sz="0" w:space="0" w:color="auto"/>
                      </w:divBdr>
                      <w:divsChild>
                        <w:div w:id="2055233994">
                          <w:marLeft w:val="0"/>
                          <w:marRight w:val="0"/>
                          <w:marTop w:val="105"/>
                          <w:marBottom w:val="0"/>
                          <w:divBdr>
                            <w:top w:val="none" w:sz="0" w:space="0" w:color="auto"/>
                            <w:left w:val="none" w:sz="0" w:space="0" w:color="auto"/>
                            <w:bottom w:val="none" w:sz="0" w:space="0" w:color="auto"/>
                            <w:right w:val="none" w:sz="0" w:space="0" w:color="auto"/>
                          </w:divBdr>
                          <w:divsChild>
                            <w:div w:id="1536195793">
                              <w:marLeft w:val="0"/>
                              <w:marRight w:val="0"/>
                              <w:marTop w:val="0"/>
                              <w:marBottom w:val="105"/>
                              <w:divBdr>
                                <w:top w:val="none" w:sz="0" w:space="0" w:color="auto"/>
                                <w:left w:val="none" w:sz="0" w:space="0" w:color="auto"/>
                                <w:bottom w:val="none" w:sz="0" w:space="0" w:color="auto"/>
                                <w:right w:val="none" w:sz="0" w:space="0" w:color="auto"/>
                              </w:divBdr>
                              <w:divsChild>
                                <w:div w:id="1359545500">
                                  <w:marLeft w:val="0"/>
                                  <w:marRight w:val="0"/>
                                  <w:marTop w:val="105"/>
                                  <w:marBottom w:val="0"/>
                                  <w:divBdr>
                                    <w:top w:val="none" w:sz="0" w:space="0" w:color="auto"/>
                                    <w:left w:val="none" w:sz="0" w:space="0" w:color="auto"/>
                                    <w:bottom w:val="none" w:sz="0" w:space="0" w:color="auto"/>
                                    <w:right w:val="none" w:sz="0" w:space="0" w:color="auto"/>
                                  </w:divBdr>
                                  <w:divsChild>
                                    <w:div w:id="1303343828">
                                      <w:marLeft w:val="0"/>
                                      <w:marRight w:val="0"/>
                                      <w:marTop w:val="0"/>
                                      <w:marBottom w:val="105"/>
                                      <w:divBdr>
                                        <w:top w:val="none" w:sz="0" w:space="0" w:color="auto"/>
                                        <w:left w:val="none" w:sz="0" w:space="0" w:color="auto"/>
                                        <w:bottom w:val="none" w:sz="0" w:space="0" w:color="auto"/>
                                        <w:right w:val="none" w:sz="0" w:space="0" w:color="auto"/>
                                      </w:divBdr>
                                      <w:divsChild>
                                        <w:div w:id="145027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0089">
      <w:bodyDiv w:val="1"/>
      <w:marLeft w:val="0"/>
      <w:marRight w:val="0"/>
      <w:marTop w:val="0"/>
      <w:marBottom w:val="0"/>
      <w:divBdr>
        <w:top w:val="none" w:sz="0" w:space="0" w:color="auto"/>
        <w:left w:val="none" w:sz="0" w:space="0" w:color="auto"/>
        <w:bottom w:val="none" w:sz="0" w:space="0" w:color="auto"/>
        <w:right w:val="none" w:sz="0" w:space="0" w:color="auto"/>
      </w:divBdr>
      <w:divsChild>
        <w:div w:id="1452288716">
          <w:marLeft w:val="75"/>
          <w:marRight w:val="75"/>
          <w:marTop w:val="0"/>
          <w:marBottom w:val="0"/>
          <w:divBdr>
            <w:top w:val="none" w:sz="0" w:space="0" w:color="auto"/>
            <w:left w:val="none" w:sz="0" w:space="0" w:color="auto"/>
            <w:bottom w:val="none" w:sz="0" w:space="0" w:color="auto"/>
            <w:right w:val="none" w:sz="0" w:space="0" w:color="auto"/>
          </w:divBdr>
          <w:divsChild>
            <w:div w:id="951864034">
              <w:marLeft w:val="0"/>
              <w:marRight w:val="0"/>
              <w:marTop w:val="0"/>
              <w:marBottom w:val="105"/>
              <w:divBdr>
                <w:top w:val="none" w:sz="0" w:space="0" w:color="auto"/>
                <w:left w:val="none" w:sz="0" w:space="0" w:color="auto"/>
                <w:bottom w:val="none" w:sz="0" w:space="0" w:color="auto"/>
                <w:right w:val="none" w:sz="0" w:space="0" w:color="auto"/>
              </w:divBdr>
              <w:divsChild>
                <w:div w:id="334311088">
                  <w:marLeft w:val="0"/>
                  <w:marRight w:val="0"/>
                  <w:marTop w:val="105"/>
                  <w:marBottom w:val="0"/>
                  <w:divBdr>
                    <w:top w:val="none" w:sz="0" w:space="0" w:color="auto"/>
                    <w:left w:val="none" w:sz="0" w:space="0" w:color="auto"/>
                    <w:bottom w:val="none" w:sz="0" w:space="0" w:color="auto"/>
                    <w:right w:val="none" w:sz="0" w:space="0" w:color="auto"/>
                  </w:divBdr>
                  <w:divsChild>
                    <w:div w:id="1538467556">
                      <w:marLeft w:val="0"/>
                      <w:marRight w:val="0"/>
                      <w:marTop w:val="0"/>
                      <w:marBottom w:val="105"/>
                      <w:divBdr>
                        <w:top w:val="none" w:sz="0" w:space="0" w:color="auto"/>
                        <w:left w:val="none" w:sz="0" w:space="0" w:color="auto"/>
                        <w:bottom w:val="none" w:sz="0" w:space="0" w:color="auto"/>
                        <w:right w:val="none" w:sz="0" w:space="0" w:color="auto"/>
                      </w:divBdr>
                      <w:divsChild>
                        <w:div w:id="1169446326">
                          <w:marLeft w:val="0"/>
                          <w:marRight w:val="0"/>
                          <w:marTop w:val="105"/>
                          <w:marBottom w:val="0"/>
                          <w:divBdr>
                            <w:top w:val="none" w:sz="0" w:space="0" w:color="auto"/>
                            <w:left w:val="none" w:sz="0" w:space="0" w:color="auto"/>
                            <w:bottom w:val="none" w:sz="0" w:space="0" w:color="auto"/>
                            <w:right w:val="none" w:sz="0" w:space="0" w:color="auto"/>
                          </w:divBdr>
                          <w:divsChild>
                            <w:div w:id="1165323257">
                              <w:marLeft w:val="0"/>
                              <w:marRight w:val="0"/>
                              <w:marTop w:val="0"/>
                              <w:marBottom w:val="105"/>
                              <w:divBdr>
                                <w:top w:val="none" w:sz="0" w:space="0" w:color="auto"/>
                                <w:left w:val="none" w:sz="0" w:space="0" w:color="auto"/>
                                <w:bottom w:val="none" w:sz="0" w:space="0" w:color="auto"/>
                                <w:right w:val="none" w:sz="0" w:space="0" w:color="auto"/>
                              </w:divBdr>
                              <w:divsChild>
                                <w:div w:id="2038502323">
                                  <w:marLeft w:val="0"/>
                                  <w:marRight w:val="0"/>
                                  <w:marTop w:val="105"/>
                                  <w:marBottom w:val="0"/>
                                  <w:divBdr>
                                    <w:top w:val="none" w:sz="0" w:space="0" w:color="auto"/>
                                    <w:left w:val="none" w:sz="0" w:space="0" w:color="auto"/>
                                    <w:bottom w:val="none" w:sz="0" w:space="0" w:color="auto"/>
                                    <w:right w:val="none" w:sz="0" w:space="0" w:color="auto"/>
                                  </w:divBdr>
                                  <w:divsChild>
                                    <w:div w:id="1993949875">
                                      <w:marLeft w:val="0"/>
                                      <w:marRight w:val="0"/>
                                      <w:marTop w:val="0"/>
                                      <w:marBottom w:val="105"/>
                                      <w:divBdr>
                                        <w:top w:val="none" w:sz="0" w:space="0" w:color="auto"/>
                                        <w:left w:val="none" w:sz="0" w:space="0" w:color="auto"/>
                                        <w:bottom w:val="none" w:sz="0" w:space="0" w:color="auto"/>
                                        <w:right w:val="none" w:sz="0" w:space="0" w:color="auto"/>
                                      </w:divBdr>
                                      <w:divsChild>
                                        <w:div w:id="1492327956">
                                          <w:marLeft w:val="0"/>
                                          <w:marRight w:val="0"/>
                                          <w:marTop w:val="105"/>
                                          <w:marBottom w:val="0"/>
                                          <w:divBdr>
                                            <w:top w:val="none" w:sz="0" w:space="0" w:color="auto"/>
                                            <w:left w:val="none" w:sz="0" w:space="0" w:color="auto"/>
                                            <w:bottom w:val="none" w:sz="0" w:space="0" w:color="auto"/>
                                            <w:right w:val="none" w:sz="0" w:space="0" w:color="auto"/>
                                          </w:divBdr>
                                          <w:divsChild>
                                            <w:div w:id="1723165679">
                                              <w:marLeft w:val="0"/>
                                              <w:marRight w:val="0"/>
                                              <w:marTop w:val="105"/>
                                              <w:marBottom w:val="105"/>
                                              <w:divBdr>
                                                <w:top w:val="none" w:sz="0" w:space="0" w:color="auto"/>
                                                <w:left w:val="none" w:sz="0" w:space="0" w:color="auto"/>
                                                <w:bottom w:val="none" w:sz="0" w:space="0" w:color="auto"/>
                                                <w:right w:val="none" w:sz="0" w:space="0" w:color="auto"/>
                                              </w:divBdr>
                                              <w:divsChild>
                                                <w:div w:id="200982501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980961">
      <w:bodyDiv w:val="1"/>
      <w:marLeft w:val="0"/>
      <w:marRight w:val="0"/>
      <w:marTop w:val="0"/>
      <w:marBottom w:val="0"/>
      <w:divBdr>
        <w:top w:val="none" w:sz="0" w:space="0" w:color="auto"/>
        <w:left w:val="none" w:sz="0" w:space="0" w:color="auto"/>
        <w:bottom w:val="none" w:sz="0" w:space="0" w:color="auto"/>
        <w:right w:val="none" w:sz="0" w:space="0" w:color="auto"/>
      </w:divBdr>
      <w:divsChild>
        <w:div w:id="4871553">
          <w:marLeft w:val="75"/>
          <w:marRight w:val="75"/>
          <w:marTop w:val="0"/>
          <w:marBottom w:val="0"/>
          <w:divBdr>
            <w:top w:val="none" w:sz="0" w:space="0" w:color="auto"/>
            <w:left w:val="none" w:sz="0" w:space="0" w:color="auto"/>
            <w:bottom w:val="none" w:sz="0" w:space="0" w:color="auto"/>
            <w:right w:val="none" w:sz="0" w:space="0" w:color="auto"/>
          </w:divBdr>
          <w:divsChild>
            <w:div w:id="1818913813">
              <w:marLeft w:val="0"/>
              <w:marRight w:val="0"/>
              <w:marTop w:val="0"/>
              <w:marBottom w:val="105"/>
              <w:divBdr>
                <w:top w:val="none" w:sz="0" w:space="0" w:color="auto"/>
                <w:left w:val="none" w:sz="0" w:space="0" w:color="auto"/>
                <w:bottom w:val="none" w:sz="0" w:space="0" w:color="auto"/>
                <w:right w:val="none" w:sz="0" w:space="0" w:color="auto"/>
              </w:divBdr>
              <w:divsChild>
                <w:div w:id="4141069">
                  <w:marLeft w:val="0"/>
                  <w:marRight w:val="0"/>
                  <w:marTop w:val="105"/>
                  <w:marBottom w:val="0"/>
                  <w:divBdr>
                    <w:top w:val="none" w:sz="0" w:space="0" w:color="auto"/>
                    <w:left w:val="none" w:sz="0" w:space="0" w:color="auto"/>
                    <w:bottom w:val="none" w:sz="0" w:space="0" w:color="auto"/>
                    <w:right w:val="none" w:sz="0" w:space="0" w:color="auto"/>
                  </w:divBdr>
                  <w:divsChild>
                    <w:div w:id="1574388664">
                      <w:marLeft w:val="0"/>
                      <w:marRight w:val="0"/>
                      <w:marTop w:val="0"/>
                      <w:marBottom w:val="105"/>
                      <w:divBdr>
                        <w:top w:val="none" w:sz="0" w:space="0" w:color="auto"/>
                        <w:left w:val="none" w:sz="0" w:space="0" w:color="auto"/>
                        <w:bottom w:val="none" w:sz="0" w:space="0" w:color="auto"/>
                        <w:right w:val="none" w:sz="0" w:space="0" w:color="auto"/>
                      </w:divBdr>
                      <w:divsChild>
                        <w:div w:id="1113673049">
                          <w:marLeft w:val="0"/>
                          <w:marRight w:val="0"/>
                          <w:marTop w:val="105"/>
                          <w:marBottom w:val="0"/>
                          <w:divBdr>
                            <w:top w:val="none" w:sz="0" w:space="0" w:color="auto"/>
                            <w:left w:val="none" w:sz="0" w:space="0" w:color="auto"/>
                            <w:bottom w:val="none" w:sz="0" w:space="0" w:color="auto"/>
                            <w:right w:val="none" w:sz="0" w:space="0" w:color="auto"/>
                          </w:divBdr>
                          <w:divsChild>
                            <w:div w:id="968097920">
                              <w:marLeft w:val="0"/>
                              <w:marRight w:val="0"/>
                              <w:marTop w:val="0"/>
                              <w:marBottom w:val="105"/>
                              <w:divBdr>
                                <w:top w:val="none" w:sz="0" w:space="0" w:color="auto"/>
                                <w:left w:val="none" w:sz="0" w:space="0" w:color="auto"/>
                                <w:bottom w:val="none" w:sz="0" w:space="0" w:color="auto"/>
                                <w:right w:val="none" w:sz="0" w:space="0" w:color="auto"/>
                              </w:divBdr>
                              <w:divsChild>
                                <w:div w:id="53936670">
                                  <w:marLeft w:val="0"/>
                                  <w:marRight w:val="0"/>
                                  <w:marTop w:val="105"/>
                                  <w:marBottom w:val="0"/>
                                  <w:divBdr>
                                    <w:top w:val="none" w:sz="0" w:space="0" w:color="auto"/>
                                    <w:left w:val="none" w:sz="0" w:space="0" w:color="auto"/>
                                    <w:bottom w:val="none" w:sz="0" w:space="0" w:color="auto"/>
                                    <w:right w:val="none" w:sz="0" w:space="0" w:color="auto"/>
                                  </w:divBdr>
                                  <w:divsChild>
                                    <w:div w:id="799877813">
                                      <w:marLeft w:val="0"/>
                                      <w:marRight w:val="0"/>
                                      <w:marTop w:val="0"/>
                                      <w:marBottom w:val="105"/>
                                      <w:divBdr>
                                        <w:top w:val="none" w:sz="0" w:space="0" w:color="auto"/>
                                        <w:left w:val="none" w:sz="0" w:space="0" w:color="auto"/>
                                        <w:bottom w:val="none" w:sz="0" w:space="0" w:color="auto"/>
                                        <w:right w:val="none" w:sz="0" w:space="0" w:color="auto"/>
                                      </w:divBdr>
                                      <w:divsChild>
                                        <w:div w:id="842085761">
                                          <w:marLeft w:val="0"/>
                                          <w:marRight w:val="0"/>
                                          <w:marTop w:val="105"/>
                                          <w:marBottom w:val="0"/>
                                          <w:divBdr>
                                            <w:top w:val="none" w:sz="0" w:space="0" w:color="auto"/>
                                            <w:left w:val="none" w:sz="0" w:space="0" w:color="auto"/>
                                            <w:bottom w:val="none" w:sz="0" w:space="0" w:color="auto"/>
                                            <w:right w:val="none" w:sz="0" w:space="0" w:color="auto"/>
                                          </w:divBdr>
                                          <w:divsChild>
                                            <w:div w:id="1052467054">
                                              <w:marLeft w:val="0"/>
                                              <w:marRight w:val="0"/>
                                              <w:marTop w:val="105"/>
                                              <w:marBottom w:val="105"/>
                                              <w:divBdr>
                                                <w:top w:val="none" w:sz="0" w:space="0" w:color="auto"/>
                                                <w:left w:val="none" w:sz="0" w:space="0" w:color="auto"/>
                                                <w:bottom w:val="none" w:sz="0" w:space="0" w:color="auto"/>
                                                <w:right w:val="none" w:sz="0" w:space="0" w:color="auto"/>
                                              </w:divBdr>
                                              <w:divsChild>
                                                <w:div w:id="10602065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exisnexis.com/au/legal/search/runRemoteLink.do?langcountry=AU&amp;linkInfo=F%23AU%23VSC%23year%252010%25page%25154%25sel1%252010%25&amp;risb=21_T9945026579&amp;bct=A&amp;service=citation&amp;A=0.5238063965634684" TargetMode="External"/><Relationship Id="rId13" Type="http://schemas.openxmlformats.org/officeDocument/2006/relationships/hyperlink" Target="https://www.lexisnexis.com/au/legal/search/runRemoteLink.do?langcountry=AU&amp;linkInfo=F%23AU%23VSC%23year%252010%25page%2553%25sel1%252010%25&amp;risb=21_T9945026579&amp;bct=A&amp;service=citation&amp;A=0.5445226046819065" TargetMode="External"/><Relationship Id="rId18" Type="http://schemas.openxmlformats.org/officeDocument/2006/relationships/hyperlink" Target="https://www.lexisnexis.com/au/legal/search/runRemoteLink.do?langcountry=AU&amp;linkInfo=F%23AU%23VSC%23year%252009%25page%25552%25sel1%252009%25&amp;risb=21_T9945026579&amp;bct=A&amp;service=citation&amp;A=0.39069558687611594" TargetMode="External"/><Relationship Id="rId26" Type="http://schemas.openxmlformats.org/officeDocument/2006/relationships/hyperlink" Target="https://www.lexisnexis.com/au/legal/search/runRemoteLink.do?langcountry=AU&amp;linkInfo=F%23AU%23VSC%23year%252010%25page%251%25sel1%252010%25&amp;risb=21_T9945026579&amp;bct=A&amp;service=citation&amp;A=0.11980886179845951" TargetMode="External"/><Relationship Id="rId3" Type="http://schemas.openxmlformats.org/officeDocument/2006/relationships/hyperlink" Target="https://www.lexisnexis.com/au/legal/search/runRemoteLink.do?langcountry=AU&amp;linkInfo=F%23AU%23VSC%23year%252010%25page%25204%25sel1%252010%25&amp;risb=21_T9945026579&amp;bct=A&amp;service=citation&amp;A=0.905439986876007" TargetMode="External"/><Relationship Id="rId21" Type="http://schemas.openxmlformats.org/officeDocument/2006/relationships/hyperlink" Target="https://www.lexisnexis.com/au/legal/search/runRemoteLink.do?langcountry=AU&amp;linkInfo=F%23AU%23VSC%23year%252009%25page%25508%25sel1%252009%25&amp;risb=21_T9945026579&amp;bct=A&amp;service=citation&amp;A=0.30082505954196004" TargetMode="External"/><Relationship Id="rId7" Type="http://schemas.openxmlformats.org/officeDocument/2006/relationships/hyperlink" Target="https://www.lexisnexis.com/au/legal/search/runRemoteLink.do?langcountry=AU&amp;linkInfo=F%23AU%23VSC%23year%252010%25page%25161%25sel1%252010%25&amp;risb=21_T9945026579&amp;bct=A&amp;service=citation&amp;A=0.7989156102892747" TargetMode="External"/><Relationship Id="rId12" Type="http://schemas.openxmlformats.org/officeDocument/2006/relationships/hyperlink" Target="https://www.lexisnexis.com/au/legal/search/runRemoteLink.do?langcountry=AU&amp;linkInfo=F%23AU%23VSC%23year%252010%25page%2565%25sel1%252010%25&amp;risb=21_T9945026579&amp;bct=A&amp;service=citation&amp;A=0.7148367825557679" TargetMode="External"/><Relationship Id="rId17" Type="http://schemas.openxmlformats.org/officeDocument/2006/relationships/hyperlink" Target="https://www.lexisnexis.com/au/legal/search/runRemoteLink.do?langcountry=AU&amp;linkInfo=F%23AU%23VSC%23year%252009%25page%25566%25sel1%252009%25&amp;risb=21_T9945026579&amp;bct=A&amp;service=citation&amp;A=0.3617476864812974" TargetMode="External"/><Relationship Id="rId25" Type="http://schemas.openxmlformats.org/officeDocument/2006/relationships/hyperlink" Target="https://www.lexisnexis.com/au/legal/search/runRemoteLink.do?langcountry=AU&amp;linkInfo=F%23AU%23VSC%23year%252010%25page%2567%25sel1%252010%25&amp;risb=21_T9945026579&amp;bct=A&amp;service=citation&amp;A=0.29378746900759134" TargetMode="External"/><Relationship Id="rId2" Type="http://schemas.openxmlformats.org/officeDocument/2006/relationships/hyperlink" Target="https://www.lexisnexis.com/au/legal/search/runRemoteLink.do?langcountry=AU&amp;linkInfo=F%23AU%23VSC%23year%252010%25page%25238%25sel1%252010%25&amp;risb=21_T9945026579&amp;bct=A&amp;service=citation&amp;A=0.7589012258662136" TargetMode="External"/><Relationship Id="rId16" Type="http://schemas.openxmlformats.org/officeDocument/2006/relationships/hyperlink" Target="https://www.lexisnexis.com/au/legal/search/runRemoteLink.do?langcountry=AU&amp;linkInfo=F%23AU%23ACSR%23decisiondate%252009%25sel2%2576%25year%252009%25page%25181%25sel1%252009%25vol%2576%25&amp;risb=21_T9945026579&amp;bct=A&amp;service=citation&amp;A=0.10928766099474385" TargetMode="External"/><Relationship Id="rId20" Type="http://schemas.openxmlformats.org/officeDocument/2006/relationships/hyperlink" Target="https://www.lexisnexis.com/au/legal/search/runRemoteLink.do?langcountry=AU&amp;linkInfo=F%23AU%23VSC%23year%252009%25page%25512%25sel1%252009%25&amp;risb=21_T9945026579&amp;bct=A&amp;service=citation&amp;A=0.5118516049155256" TargetMode="External"/><Relationship Id="rId29" Type="http://schemas.openxmlformats.org/officeDocument/2006/relationships/hyperlink" Target="https://www.lexisnexis.com/au/legal/search/runRemoteLink.do?langcountry=AU&amp;linkInfo=F%23AU%23VSC%23year%252009%25page%25413%25sel1%252009%25&amp;risb=21_T9945026579&amp;bct=A&amp;service=citation&amp;A=0.7328503824000621" TargetMode="External"/><Relationship Id="rId1" Type="http://schemas.openxmlformats.org/officeDocument/2006/relationships/hyperlink" Target="https://www.lexisnexis.com/au/legal/search/runRemoteLink.do?langcountry=AU&amp;linkInfo=F%23AU%23VSC%23year%252010%25page%25260%25sel1%252010%25&amp;risb=21_T9945026579&amp;bct=A&amp;service=citation&amp;A=0.4083556213229316" TargetMode="External"/><Relationship Id="rId6" Type="http://schemas.openxmlformats.org/officeDocument/2006/relationships/hyperlink" Target="https://www.lexisnexis.com/au/legal/search/runRemoteLink.do?langcountry=AU&amp;linkInfo=F%23AU%23VSC%23year%252010%25page%2567%25sel1%252010%25&amp;risb=21_T9945026579&amp;bct=A&amp;service=citation&amp;A=0.29378746900759134" TargetMode="External"/><Relationship Id="rId11" Type="http://schemas.openxmlformats.org/officeDocument/2006/relationships/hyperlink" Target="https://www.lexisnexis.com/au/legal/search/runRemoteLink.do?langcountry=AU&amp;linkInfo=F%23AU%23VSC%23year%252010%25page%2559%25sel1%252010%25&amp;risb=21_T9945026579&amp;bct=A&amp;service=citation&amp;A=0.08861840280811306" TargetMode="External"/><Relationship Id="rId24" Type="http://schemas.openxmlformats.org/officeDocument/2006/relationships/hyperlink" Target="https://www.lexisnexis.com/au/legal/search/runRemoteLink.do?langcountry=AU&amp;linkInfo=F%23AU%23VSC%23year%252009%25page%25371%25sel1%252009%25&amp;risb=21_T9945026579&amp;bct=A&amp;service=citation&amp;A=0.08733298202935269" TargetMode="External"/><Relationship Id="rId5" Type="http://schemas.openxmlformats.org/officeDocument/2006/relationships/hyperlink" Target="https://www.lexisnexis.com/au/legal/search/runRemoteLink.do?langcountry=AU&amp;linkInfo=F%23AU%23VSC%23year%252010%25page%25186%25sel1%252010%25&amp;risb=21_T9945026579&amp;bct=A&amp;service=citation&amp;A=0.17961085374891073" TargetMode="External"/><Relationship Id="rId15" Type="http://schemas.openxmlformats.org/officeDocument/2006/relationships/hyperlink" Target="https://www.lexisnexis.com/au/legal/search/runRemoteLink.do?langcountry=AU&amp;linkInfo=F%23AU%23VSC%23year%252009%25page%25628%25sel1%252009%25&amp;risb=21_T9945026579&amp;bct=A&amp;service=citation&amp;A=0.8257922006909223" TargetMode="External"/><Relationship Id="rId23" Type="http://schemas.openxmlformats.org/officeDocument/2006/relationships/hyperlink" Target="https://www.lexisnexis.com/au/legal/search/runRemoteLink.do?langcountry=AU&amp;linkInfo=F%23AU%23VSC%23year%252009%25page%25413%25sel1%252009%25&amp;risb=21_T9945026579&amp;bct=A&amp;service=citation&amp;A=0.7328503824000621" TargetMode="External"/><Relationship Id="rId28" Type="http://schemas.openxmlformats.org/officeDocument/2006/relationships/hyperlink" Target="https://www.lexisnexis.com/au/legal/search/runRemoteLink.do?langcountry=AU&amp;linkInfo=F%23AU%23VSC%23year%252009%25page%25457%25sel1%252009%25&amp;risb=21_T9945026579&amp;bct=A&amp;service=citation&amp;A=0.3882094410531366" TargetMode="External"/><Relationship Id="rId10" Type="http://schemas.openxmlformats.org/officeDocument/2006/relationships/hyperlink" Target="https://www.lexisnexis.com/au/legal/search/runRemoteLink.do?langcountry=AU&amp;linkInfo=F%23AU%23VSC%23year%252010%25page%2589%25sel1%252010%25&amp;risb=21_T9945026579&amp;bct=A&amp;service=citation&amp;A=0.8609309637013166" TargetMode="External"/><Relationship Id="rId19" Type="http://schemas.openxmlformats.org/officeDocument/2006/relationships/hyperlink" Target="https://www.lexisnexis.com/au/legal/search/runRemoteLink.do?langcountry=AU&amp;linkInfo=F%23AU%23VSC%23year%252009%25page%25531%25sel1%252009%25&amp;risb=21_T9945026579&amp;bct=A&amp;service=citation&amp;A=0.18087347268375265" TargetMode="External"/><Relationship Id="rId4" Type="http://schemas.openxmlformats.org/officeDocument/2006/relationships/hyperlink" Target="https://www.lexisnexis.com/au/legal/search/runRemoteLink.do?langcountry=AU&amp;linkInfo=F%23AU%23VSC%23year%252010%25page%25200%25sel1%252010%25&amp;risb=21_T9945026579&amp;bct=A&amp;service=citation&amp;A=0.35326268089318924" TargetMode="External"/><Relationship Id="rId9" Type="http://schemas.openxmlformats.org/officeDocument/2006/relationships/hyperlink" Target="https://www.lexisnexis.com/au/legal/search/runRemoteLink.do?langcountry=AU&amp;linkInfo=F%23AU%23VSC%23year%252010%25page%25146%25sel1%252010%25&amp;risb=21_T9945026579&amp;bct=A&amp;service=citation&amp;A=0.9377537047450335" TargetMode="External"/><Relationship Id="rId14" Type="http://schemas.openxmlformats.org/officeDocument/2006/relationships/hyperlink" Target="https://www.lexisnexis.com/au/legal/search/runRemoteLink.do?langcountry=AU&amp;linkInfo=F%23AU%23VSC%23year%252010%25page%251%25sel1%252010%25&amp;risb=21_T9945026579&amp;bct=A&amp;service=citation&amp;A=0.11980886179845951" TargetMode="External"/><Relationship Id="rId22" Type="http://schemas.openxmlformats.org/officeDocument/2006/relationships/hyperlink" Target="https://www.lexisnexis.com/au/legal/search/runRemoteLink.do?langcountry=AU&amp;linkInfo=F%23AU%23VSC%23year%252009%25page%25457%25sel1%252009%25&amp;risb=21_T9945026579&amp;bct=A&amp;service=citation&amp;A=0.3882094410531366" TargetMode="External"/><Relationship Id="rId27" Type="http://schemas.openxmlformats.org/officeDocument/2006/relationships/hyperlink" Target="https://www.lexisnexis.com/au/legal/search/runRemoteLink.do?langcountry=AU&amp;linkInfo=F%23AU%23VSC%23year%252009%25page%25552%25sel1%252009%25&amp;risb=21_T9945026579&amp;bct=A&amp;service=citation&amp;A=0.390695586876115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AppJudg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Maria Luzza</FileShareCreatedBy>
    <FileShareModifiedBy xmlns="263eaefd-0475-4860-b86f-622cd66f4e0c">Andrew Wicking</FileShareModifi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7D09-401F-4F38-B367-5B52F42CB317}">
  <ds:schemaRefs>
    <ds:schemaRef ds:uri="http://schemas.microsoft.com/sharepoint/v3/contenttype/forms"/>
  </ds:schemaRefs>
</ds:datastoreItem>
</file>

<file path=customXml/itemProps2.xml><?xml version="1.0" encoding="utf-8"?>
<ds:datastoreItem xmlns:ds="http://schemas.openxmlformats.org/officeDocument/2006/customXml" ds:itemID="{9A5AA2B2-1AD5-403F-9E36-F2418241ED68}">
  <ds:schemaRefs>
    <ds:schemaRef ds:uri="http://schemas.microsoft.com/office/2006/metadata/longProperties"/>
  </ds:schemaRefs>
</ds:datastoreItem>
</file>

<file path=customXml/itemProps3.xml><?xml version="1.0" encoding="utf-8"?>
<ds:datastoreItem xmlns:ds="http://schemas.openxmlformats.org/officeDocument/2006/customXml" ds:itemID="{07C92ED5-F719-47FC-9267-3C6E9C20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475BE-1DEF-4958-9EB1-B24C24F6D0C3}">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e84cb-4b1f-4b74-b4a5-14e1a433eee1"/>
    <ds:schemaRef ds:uri="http://www.w3.org/XML/1998/namespace"/>
    <ds:schemaRef ds:uri="http://purl.org/dc/dcmitype/"/>
  </ds:schemaRefs>
</ds:datastoreItem>
</file>

<file path=customXml/itemProps5.xml><?xml version="1.0" encoding="utf-8"?>
<ds:datastoreItem xmlns:ds="http://schemas.openxmlformats.org/officeDocument/2006/customXml" ds:itemID="{F9D159F5-E14E-40D8-8979-717E4E5D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AppJudgm.dot</Template>
  <TotalTime>4</TotalTime>
  <Pages>20</Pages>
  <Words>4773</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Luzza</dc:creator>
  <cp:keywords/>
  <dc:description>Bullet style added: 22 sept/03</dc:description>
  <cp:lastModifiedBy>Andrew Wicking</cp:lastModifiedBy>
  <cp:revision>3</cp:revision>
  <cp:lastPrinted>2017-12-12T00:29:00Z</cp:lastPrinted>
  <dcterms:created xsi:type="dcterms:W3CDTF">2017-12-12T00:29:00Z</dcterms:created>
  <dcterms:modified xsi:type="dcterms:W3CDTF">2017-12-12T00:30:00Z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Wicking</vt:lpwstr>
  </property>
  <property fmtid="{D5CDD505-2E9C-101B-9397-08002B2CF9AE}" pid="3" name="display_urn:schemas-microsoft-com:office:office#Author">
    <vt:lpwstr>Maria Luzza</vt:lpwstr>
  </property>
</Properties>
</file>