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29C23" w14:textId="77777777" w:rsidR="00F830D6" w:rsidRDefault="00A62AC3" w:rsidP="00322F2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4E6AB1">
        <w:rPr>
          <w:rFonts w:ascii="Times New Roman" w:hAnsi="Times New Roman"/>
          <w:noProof/>
          <w:lang w:eastAsia="en-AU"/>
        </w:rPr>
        <w:drawing>
          <wp:inline distT="0" distB="0" distL="0" distR="0" wp14:anchorId="7A54C625" wp14:editId="2142674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0D6" w:rsidRPr="00F830D6">
        <w:rPr>
          <w:rFonts w:ascii="Times New Roman" w:hAnsi="Times New Roman"/>
          <w:b/>
          <w:sz w:val="36"/>
          <w:szCs w:val="36"/>
        </w:rPr>
        <w:t xml:space="preserve"> </w:t>
      </w:r>
    </w:p>
    <w:p w14:paraId="3B8CA263" w14:textId="77777777" w:rsidR="00F830D6" w:rsidRPr="005E2DF1" w:rsidRDefault="00F830D6" w:rsidP="00F830D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E2DF1">
        <w:rPr>
          <w:rFonts w:ascii="Times New Roman" w:hAnsi="Times New Roman"/>
          <w:b/>
          <w:sz w:val="36"/>
          <w:szCs w:val="36"/>
        </w:rPr>
        <w:t>Notice to the Profession</w:t>
      </w:r>
    </w:p>
    <w:p w14:paraId="1D3E883C" w14:textId="77777777" w:rsidR="00F830D6" w:rsidRPr="00322F28" w:rsidRDefault="00F830D6" w:rsidP="00F830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FD183A" w14:textId="77777777" w:rsidR="00F830D6" w:rsidRPr="008C39AD" w:rsidRDefault="00F830D6" w:rsidP="00F830D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9AD">
        <w:rPr>
          <w:rFonts w:ascii="Times New Roman" w:hAnsi="Times New Roman"/>
          <w:sz w:val="24"/>
          <w:szCs w:val="24"/>
        </w:rPr>
        <w:t xml:space="preserve">The Chief Justice has authorised the issue of the following notice. </w:t>
      </w:r>
    </w:p>
    <w:p w14:paraId="429725EA" w14:textId="77777777" w:rsidR="00F830D6" w:rsidRPr="00322F28" w:rsidRDefault="00F830D6" w:rsidP="00F830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96485E" w14:textId="77777777" w:rsidR="00F830D6" w:rsidRDefault="00F830D6" w:rsidP="00F830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Proceedings in the Commercial Court Taxation List</w:t>
      </w:r>
    </w:p>
    <w:p w14:paraId="0F631E23" w14:textId="77777777" w:rsidR="00F830D6" w:rsidRPr="00322F28" w:rsidRDefault="00F830D6" w:rsidP="00F830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87CBFA" w14:textId="77777777" w:rsidR="00B21A2C" w:rsidRDefault="00F830D6" w:rsidP="009740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from the date of this Notice, Victorian Taxation Appeals</w:t>
      </w:r>
      <w:r w:rsidR="00974028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="00B21A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are </w:t>
      </w:r>
      <w:r w:rsidR="00974028">
        <w:rPr>
          <w:rFonts w:ascii="Times New Roman" w:hAnsi="Times New Roman"/>
          <w:sz w:val="24"/>
          <w:szCs w:val="24"/>
        </w:rPr>
        <w:t xml:space="preserve">hereby </w:t>
      </w:r>
      <w:r>
        <w:rPr>
          <w:rFonts w:ascii="Times New Roman" w:hAnsi="Times New Roman"/>
          <w:sz w:val="24"/>
          <w:szCs w:val="24"/>
        </w:rPr>
        <w:t>to be initiated and managed in the Commercial Court Taxation List.</w:t>
      </w:r>
      <w:r w:rsidR="00974028">
        <w:rPr>
          <w:rFonts w:ascii="Times New Roman" w:hAnsi="Times New Roman"/>
          <w:sz w:val="24"/>
          <w:szCs w:val="24"/>
        </w:rPr>
        <w:t xml:space="preserve">  </w:t>
      </w:r>
    </w:p>
    <w:p w14:paraId="3CA9168E" w14:textId="77777777" w:rsidR="00B21A2C" w:rsidRDefault="00B21A2C" w:rsidP="009740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D30C2B" w14:textId="77777777" w:rsidR="00F830D6" w:rsidRPr="00974028" w:rsidRDefault="00974028" w:rsidP="009740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 accommodate this change</w:t>
      </w:r>
      <w:r w:rsidRPr="00974028">
        <w:rPr>
          <w:rFonts w:ascii="Times New Roman" w:hAnsi="Times New Roman"/>
          <w:sz w:val="24"/>
          <w:szCs w:val="24"/>
        </w:rPr>
        <w:t>, the existing fee structure as set out i</w:t>
      </w:r>
      <w:r>
        <w:rPr>
          <w:rFonts w:ascii="Times New Roman" w:hAnsi="Times New Roman"/>
          <w:sz w:val="24"/>
          <w:szCs w:val="24"/>
        </w:rPr>
        <w:t xml:space="preserve">n Part 1 of the </w:t>
      </w:r>
      <w:r w:rsidRPr="00974028">
        <w:rPr>
          <w:rFonts w:ascii="Times New Roman" w:hAnsi="Times New Roman"/>
          <w:i/>
          <w:sz w:val="24"/>
          <w:szCs w:val="24"/>
        </w:rPr>
        <w:t>Supreme Court (Fees) Regulations 2012</w:t>
      </w:r>
      <w:r w:rsidRPr="009740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shall, for present purposes, continue to apply</w:t>
      </w:r>
      <w:r w:rsidR="00F356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486AB81" w14:textId="77777777" w:rsidR="00F830D6" w:rsidRDefault="00F830D6" w:rsidP="00F830D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1D6E648F" w14:textId="77777777" w:rsidR="005E1840" w:rsidRPr="00F75381" w:rsidRDefault="006B77F8" w:rsidP="00B21A2C">
      <w:pPr>
        <w:pStyle w:val="FootnoteTex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830D6" w:rsidRPr="00B21A2C">
        <w:rPr>
          <w:rFonts w:ascii="Times New Roman" w:hAnsi="Times New Roman"/>
          <w:sz w:val="24"/>
          <w:szCs w:val="24"/>
        </w:rPr>
        <w:t xml:space="preserve">ractitioners are </w:t>
      </w:r>
      <w:r w:rsidR="003D7346" w:rsidRPr="00B21A2C">
        <w:rPr>
          <w:rFonts w:ascii="Times New Roman" w:hAnsi="Times New Roman"/>
          <w:sz w:val="24"/>
          <w:szCs w:val="24"/>
        </w:rPr>
        <w:t>advised</w:t>
      </w:r>
      <w:r w:rsidR="00974028" w:rsidRPr="00B21A2C">
        <w:rPr>
          <w:rFonts w:ascii="Times New Roman" w:hAnsi="Times New Roman"/>
          <w:sz w:val="24"/>
          <w:szCs w:val="24"/>
        </w:rPr>
        <w:t xml:space="preserve"> </w:t>
      </w:r>
      <w:r w:rsidR="00974028" w:rsidRPr="00F75381">
        <w:rPr>
          <w:rFonts w:ascii="Times New Roman" w:hAnsi="Times New Roman"/>
          <w:sz w:val="24"/>
          <w:szCs w:val="24"/>
        </w:rPr>
        <w:t xml:space="preserve">that </w:t>
      </w:r>
      <w:r w:rsidR="00974028" w:rsidRPr="00F75381">
        <w:rPr>
          <w:rFonts w:ascii="Times New Roman" w:hAnsi="Times New Roman"/>
          <w:sz w:val="24"/>
          <w:szCs w:val="24"/>
          <w:u w:val="single"/>
        </w:rPr>
        <w:t>any proceeding</w:t>
      </w:r>
      <w:r w:rsidR="00F830D6" w:rsidRPr="00F75381">
        <w:rPr>
          <w:rFonts w:ascii="Times New Roman" w:hAnsi="Times New Roman"/>
          <w:sz w:val="24"/>
          <w:szCs w:val="24"/>
          <w:u w:val="single"/>
        </w:rPr>
        <w:t xml:space="preserve"> in which a substantial issue is raised in respect of taxation, including taxation recovery </w:t>
      </w:r>
      <w:r w:rsidR="006D132E" w:rsidRPr="00F75381">
        <w:rPr>
          <w:rFonts w:ascii="Times New Roman" w:hAnsi="Times New Roman"/>
          <w:sz w:val="24"/>
          <w:szCs w:val="24"/>
          <w:u w:val="single"/>
        </w:rPr>
        <w:t>and disputes with respect to goods and services tax</w:t>
      </w:r>
      <w:r w:rsidR="006D132E" w:rsidRPr="00F75381">
        <w:rPr>
          <w:rFonts w:ascii="Times New Roman" w:hAnsi="Times New Roman"/>
          <w:sz w:val="24"/>
          <w:szCs w:val="24"/>
        </w:rPr>
        <w:t xml:space="preserve"> </w:t>
      </w:r>
      <w:r w:rsidR="00974028" w:rsidRPr="00F75381">
        <w:rPr>
          <w:rFonts w:ascii="Times New Roman" w:hAnsi="Times New Roman"/>
          <w:sz w:val="24"/>
          <w:szCs w:val="24"/>
        </w:rPr>
        <w:t>(</w:t>
      </w:r>
      <w:r w:rsidR="00103EC5" w:rsidRPr="00F75381">
        <w:rPr>
          <w:rFonts w:ascii="Times New Roman" w:hAnsi="Times New Roman"/>
          <w:sz w:val="24"/>
          <w:szCs w:val="24"/>
        </w:rPr>
        <w:t xml:space="preserve">but </w:t>
      </w:r>
      <w:r w:rsidR="00974028" w:rsidRPr="00F75381">
        <w:rPr>
          <w:rFonts w:ascii="Times New Roman" w:hAnsi="Times New Roman"/>
          <w:sz w:val="24"/>
          <w:szCs w:val="24"/>
        </w:rPr>
        <w:t>excluding</w:t>
      </w:r>
      <w:r w:rsidR="00F830D6" w:rsidRPr="00F75381">
        <w:rPr>
          <w:rFonts w:ascii="Times New Roman" w:hAnsi="Times New Roman"/>
          <w:sz w:val="24"/>
          <w:szCs w:val="24"/>
        </w:rPr>
        <w:t xml:space="preserve"> professional liability claims against tax professionals or advisors</w:t>
      </w:r>
      <w:r w:rsidR="00103EC5" w:rsidRPr="00F75381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974028" w:rsidRPr="00F75381">
        <w:rPr>
          <w:rFonts w:ascii="Times New Roman" w:hAnsi="Times New Roman"/>
          <w:sz w:val="24"/>
          <w:szCs w:val="24"/>
        </w:rPr>
        <w:t>)</w:t>
      </w:r>
      <w:r w:rsidR="00F830D6" w:rsidRPr="00F75381">
        <w:rPr>
          <w:rFonts w:ascii="Times New Roman" w:hAnsi="Times New Roman"/>
          <w:sz w:val="24"/>
          <w:szCs w:val="24"/>
        </w:rPr>
        <w:t xml:space="preserve">, </w:t>
      </w:r>
      <w:r w:rsidR="003D7346" w:rsidRPr="00F75381">
        <w:rPr>
          <w:rFonts w:ascii="Times New Roman" w:hAnsi="Times New Roman"/>
          <w:sz w:val="24"/>
          <w:szCs w:val="24"/>
          <w:u w:val="single"/>
        </w:rPr>
        <w:t>are</w:t>
      </w:r>
      <w:r w:rsidR="00103EC5" w:rsidRPr="00F75381">
        <w:rPr>
          <w:rFonts w:ascii="Times New Roman" w:hAnsi="Times New Roman"/>
          <w:sz w:val="24"/>
          <w:szCs w:val="24"/>
          <w:u w:val="single"/>
        </w:rPr>
        <w:t xml:space="preserve"> to be initiated and</w:t>
      </w:r>
      <w:r w:rsidR="00103EC5" w:rsidRPr="00F75381">
        <w:rPr>
          <w:rFonts w:ascii="Times New Roman" w:hAnsi="Times New Roman"/>
          <w:sz w:val="24"/>
          <w:szCs w:val="24"/>
        </w:rPr>
        <w:t xml:space="preserve"> </w:t>
      </w:r>
      <w:r w:rsidR="00103EC5" w:rsidRPr="00F75381">
        <w:rPr>
          <w:rFonts w:ascii="Times New Roman" w:hAnsi="Times New Roman"/>
          <w:sz w:val="24"/>
          <w:szCs w:val="24"/>
          <w:u w:val="single"/>
        </w:rPr>
        <w:t>managed in the Commercial Court</w:t>
      </w:r>
      <w:r w:rsidR="00103EC5" w:rsidRPr="00F75381">
        <w:rPr>
          <w:rFonts w:ascii="Times New Roman" w:hAnsi="Times New Roman"/>
          <w:sz w:val="24"/>
          <w:szCs w:val="24"/>
        </w:rPr>
        <w:t>.</w:t>
      </w:r>
      <w:r w:rsidRPr="00F75381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="00974028" w:rsidRPr="00F75381">
        <w:rPr>
          <w:rFonts w:ascii="Times New Roman" w:hAnsi="Times New Roman"/>
          <w:sz w:val="24"/>
          <w:szCs w:val="24"/>
        </w:rPr>
        <w:t xml:space="preserve">  </w:t>
      </w:r>
    </w:p>
    <w:p w14:paraId="2F147C9F" w14:textId="77777777" w:rsidR="005E1840" w:rsidRPr="00F75381" w:rsidRDefault="005E1840" w:rsidP="00B21A2C">
      <w:pPr>
        <w:pStyle w:val="FootnoteText"/>
        <w:spacing w:line="276" w:lineRule="auto"/>
        <w:rPr>
          <w:rFonts w:ascii="Times New Roman" w:hAnsi="Times New Roman"/>
          <w:sz w:val="24"/>
          <w:szCs w:val="24"/>
        </w:rPr>
      </w:pPr>
    </w:p>
    <w:p w14:paraId="3FFD9BDB" w14:textId="77777777" w:rsidR="00B21A2C" w:rsidRPr="00B21A2C" w:rsidRDefault="005C13DE" w:rsidP="00B21A2C">
      <w:pPr>
        <w:pStyle w:val="FootnoteTex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Taxation recovery </w:t>
      </w:r>
      <w:r w:rsidR="00B21A2C" w:rsidRPr="00B21A2C">
        <w:rPr>
          <w:rFonts w:ascii="Times New Roman" w:hAnsi="Times New Roman"/>
          <w:sz w:val="24"/>
          <w:szCs w:val="24"/>
        </w:rPr>
        <w:t>proceedings will be formally entered into the Taxation List and an Entry into List Fee will be payable upon the last to occur of the following events:</w:t>
      </w:r>
    </w:p>
    <w:p w14:paraId="7F50EDF5" w14:textId="77777777" w:rsidR="00B21A2C" w:rsidRPr="00B21A2C" w:rsidRDefault="00B21A2C" w:rsidP="00B21A2C">
      <w:pPr>
        <w:pStyle w:val="FootnoteText"/>
        <w:spacing w:line="276" w:lineRule="auto"/>
        <w:rPr>
          <w:rFonts w:ascii="Times New Roman" w:hAnsi="Times New Roman"/>
          <w:sz w:val="24"/>
          <w:szCs w:val="24"/>
        </w:rPr>
      </w:pPr>
    </w:p>
    <w:p w14:paraId="5EC5C231" w14:textId="77777777" w:rsidR="00B21A2C" w:rsidRPr="00B21A2C" w:rsidRDefault="00B21A2C" w:rsidP="00B21A2C">
      <w:pPr>
        <w:pStyle w:val="FootnoteText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21A2C">
        <w:rPr>
          <w:rFonts w:ascii="Times New Roman" w:hAnsi="Times New Roman"/>
          <w:sz w:val="24"/>
          <w:szCs w:val="24"/>
        </w:rPr>
        <w:t xml:space="preserve">filing of any defence and/or defence and counterclaim (or responding affidavit where the matter is commenced by originating motion); and </w:t>
      </w:r>
    </w:p>
    <w:p w14:paraId="63B7CB1C" w14:textId="77777777" w:rsidR="00B21A2C" w:rsidRPr="00B21A2C" w:rsidRDefault="00B21A2C" w:rsidP="00B21A2C">
      <w:pPr>
        <w:pStyle w:val="FootnoteText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21A2C">
        <w:rPr>
          <w:rFonts w:ascii="Times New Roman" w:hAnsi="Times New Roman"/>
          <w:sz w:val="24"/>
          <w:szCs w:val="24"/>
        </w:rPr>
        <w:lastRenderedPageBreak/>
        <w:t xml:space="preserve">notification by the Court that the matter has been entered into the Taxation List. </w:t>
      </w:r>
    </w:p>
    <w:p w14:paraId="1CF7CDF0" w14:textId="77777777" w:rsidR="00B21A2C" w:rsidRPr="00B21A2C" w:rsidRDefault="00B21A2C" w:rsidP="00B21A2C">
      <w:pPr>
        <w:pStyle w:val="FootnoteText"/>
        <w:spacing w:line="276" w:lineRule="auto"/>
        <w:rPr>
          <w:rFonts w:ascii="Times New Roman" w:hAnsi="Times New Roman"/>
          <w:sz w:val="24"/>
          <w:szCs w:val="24"/>
        </w:rPr>
      </w:pPr>
    </w:p>
    <w:p w14:paraId="09DB15B6" w14:textId="76D556E5" w:rsidR="00AE4347" w:rsidRDefault="005C13DE" w:rsidP="00783D0E">
      <w:pPr>
        <w:pStyle w:val="Footnote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the formal entry of taxation recovery proceedings into the Taxation List in the manner set out above, these matters will still be overseen by </w:t>
      </w:r>
      <w:r w:rsidR="005E1840">
        <w:rPr>
          <w:rFonts w:ascii="Times New Roman" w:hAnsi="Times New Roman" w:cs="Times New Roman"/>
          <w:sz w:val="24"/>
          <w:szCs w:val="24"/>
        </w:rPr>
        <w:t xml:space="preserve">the List </w:t>
      </w:r>
      <w:r>
        <w:rPr>
          <w:rFonts w:ascii="Times New Roman" w:hAnsi="Times New Roman" w:cs="Times New Roman"/>
          <w:sz w:val="24"/>
          <w:szCs w:val="24"/>
        </w:rPr>
        <w:t>Judge</w:t>
      </w:r>
      <w:r w:rsidR="00844EE0">
        <w:rPr>
          <w:rFonts w:ascii="Times New Roman" w:hAnsi="Times New Roman" w:cs="Times New Roman"/>
          <w:sz w:val="24"/>
          <w:szCs w:val="24"/>
        </w:rPr>
        <w:t xml:space="preserve"> from the date of initiation</w:t>
      </w:r>
      <w:r>
        <w:rPr>
          <w:rFonts w:ascii="Times New Roman" w:hAnsi="Times New Roman" w:cs="Times New Roman"/>
          <w:sz w:val="24"/>
          <w:szCs w:val="24"/>
        </w:rPr>
        <w:t>.  Judgment may not be entered administratively in any taxation proceeding unless the List Judge gives leave to do so.</w:t>
      </w:r>
    </w:p>
    <w:p w14:paraId="599CFE51" w14:textId="77777777" w:rsidR="00783D0E" w:rsidRPr="00783D0E" w:rsidRDefault="00783D0E" w:rsidP="00783D0E">
      <w:pPr>
        <w:pStyle w:val="FootnoteText"/>
        <w:spacing w:line="276" w:lineRule="auto"/>
        <w:rPr>
          <w:rFonts w:ascii="Times New Roman" w:hAnsi="Times New Roman"/>
          <w:sz w:val="24"/>
          <w:szCs w:val="24"/>
        </w:rPr>
      </w:pPr>
    </w:p>
    <w:p w14:paraId="796224DA" w14:textId="538BF247" w:rsidR="007B26E6" w:rsidRPr="00783D0E" w:rsidRDefault="00D500C6" w:rsidP="00783D0E">
      <w:pPr>
        <w:pStyle w:val="FootnoteText"/>
        <w:spacing w:line="276" w:lineRule="auto"/>
        <w:rPr>
          <w:rFonts w:ascii="Times New Roman" w:hAnsi="Times New Roman"/>
          <w:sz w:val="24"/>
          <w:szCs w:val="24"/>
        </w:rPr>
      </w:pPr>
      <w:r w:rsidRPr="00783D0E">
        <w:rPr>
          <w:rFonts w:ascii="Times New Roman" w:hAnsi="Times New Roman" w:cs="Times New Roman"/>
          <w:sz w:val="24"/>
          <w:szCs w:val="24"/>
        </w:rPr>
        <w:t>Commencing 2 January 2018</w:t>
      </w:r>
      <w:r w:rsidR="000D20F8">
        <w:rPr>
          <w:rFonts w:ascii="Times New Roman" w:hAnsi="Times New Roman" w:cs="Times New Roman"/>
          <w:sz w:val="24"/>
          <w:szCs w:val="24"/>
        </w:rPr>
        <w:t>, a</w:t>
      </w:r>
      <w:r w:rsidR="004C42F9" w:rsidRPr="00783D0E">
        <w:rPr>
          <w:rFonts w:ascii="Times New Roman" w:hAnsi="Times New Roman" w:cs="Times New Roman"/>
          <w:sz w:val="24"/>
          <w:szCs w:val="24"/>
        </w:rPr>
        <w:t xml:space="preserve">ll </w:t>
      </w:r>
      <w:r w:rsidR="007B26E6" w:rsidRPr="00783D0E">
        <w:rPr>
          <w:rFonts w:ascii="Times New Roman" w:hAnsi="Times New Roman" w:cs="Times New Roman"/>
          <w:sz w:val="24"/>
          <w:szCs w:val="24"/>
        </w:rPr>
        <w:t>Taxation List proceedings are to be filed in RedCrest, the Commercial Court’s electronic filing system.</w:t>
      </w:r>
      <w:r w:rsidR="000D20F8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25B0108A" w14:textId="77777777" w:rsidR="00322F28" w:rsidRPr="00B21A2C" w:rsidRDefault="00322F28" w:rsidP="00B21A2C">
      <w:pPr>
        <w:pStyle w:val="Footnote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774C48" w14:textId="77777777" w:rsidR="00322F28" w:rsidRDefault="00F75381" w:rsidP="00322F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9</w:t>
      </w:r>
      <w:r w:rsidR="00172A47" w:rsidRPr="00F75381">
        <w:rPr>
          <w:rFonts w:ascii="Times New Roman" w:eastAsia="Times New Roman" w:hAnsi="Times New Roman"/>
          <w:sz w:val="24"/>
          <w:szCs w:val="24"/>
          <w:lang w:eastAsia="en-AU"/>
        </w:rPr>
        <w:t xml:space="preserve"> March</w:t>
      </w:r>
      <w:r w:rsidR="00322F28" w:rsidRPr="00F75381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172A47" w:rsidRPr="00F75381">
        <w:rPr>
          <w:rFonts w:ascii="Times New Roman" w:eastAsia="Times New Roman" w:hAnsi="Times New Roman"/>
          <w:sz w:val="24"/>
          <w:szCs w:val="24"/>
          <w:lang w:eastAsia="en-AU"/>
        </w:rPr>
        <w:t>2017</w:t>
      </w:r>
    </w:p>
    <w:p w14:paraId="43860813" w14:textId="04C2AD3D" w:rsidR="0010224C" w:rsidRPr="00322F28" w:rsidRDefault="00AE4347" w:rsidP="00783D0E">
      <w:pPr>
        <w:tabs>
          <w:tab w:val="left" w:pos="6510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sz w:val="24"/>
          <w:szCs w:val="24"/>
          <w:lang w:eastAsia="en-AU"/>
        </w:rPr>
        <w:tab/>
      </w:r>
      <w:r w:rsidR="00A31E5E">
        <w:rPr>
          <w:rFonts w:ascii="Times New Roman" w:eastAsia="Times New Roman" w:hAnsi="Times New Roman"/>
          <w:sz w:val="24"/>
          <w:szCs w:val="24"/>
          <w:lang w:eastAsia="en-AU"/>
        </w:rPr>
        <w:t>(Amended 21 December 2017</w:t>
      </w:r>
      <w:r w:rsidR="0010224C">
        <w:rPr>
          <w:rFonts w:ascii="Times New Roman" w:eastAsia="Times New Roman" w:hAnsi="Times New Roman"/>
          <w:sz w:val="24"/>
          <w:szCs w:val="24"/>
          <w:lang w:eastAsia="en-AU"/>
        </w:rPr>
        <w:t>)</w:t>
      </w:r>
    </w:p>
    <w:p w14:paraId="71B6514D" w14:textId="77777777" w:rsidR="00322F28" w:rsidRPr="00322F28" w:rsidRDefault="00322F28" w:rsidP="00322F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AU"/>
        </w:rPr>
      </w:pPr>
    </w:p>
    <w:p w14:paraId="7A59ED95" w14:textId="77777777" w:rsidR="00322F28" w:rsidRPr="00322F28" w:rsidRDefault="00322F28" w:rsidP="00322F28">
      <w:pPr>
        <w:tabs>
          <w:tab w:val="left" w:pos="7860"/>
          <w:tab w:val="right" w:pos="927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AU"/>
        </w:rPr>
      </w:pPr>
      <w:r w:rsidRPr="00322F28">
        <w:rPr>
          <w:rFonts w:ascii="Times New Roman" w:eastAsia="Times New Roman" w:hAnsi="Times New Roman"/>
          <w:sz w:val="24"/>
          <w:szCs w:val="24"/>
          <w:lang w:eastAsia="en-AU"/>
        </w:rPr>
        <w:t>Vivienne Macgillivray</w:t>
      </w:r>
    </w:p>
    <w:p w14:paraId="66FC5BA5" w14:textId="77777777" w:rsidR="00322F28" w:rsidRPr="00322F28" w:rsidRDefault="00322F28" w:rsidP="00322F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AU"/>
        </w:rPr>
      </w:pPr>
      <w:r w:rsidRPr="00322F28"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 xml:space="preserve">Executive Associate to the </w:t>
      </w:r>
      <w:r>
        <w:rPr>
          <w:rFonts w:ascii="Times New Roman" w:eastAsia="Times New Roman" w:hAnsi="Times New Roman"/>
          <w:sz w:val="24"/>
          <w:szCs w:val="24"/>
          <w:lang w:eastAsia="en-AU"/>
        </w:rPr>
        <w:t>Chief Justice</w:t>
      </w:r>
    </w:p>
    <w:sectPr w:rsidR="00322F28" w:rsidRPr="00322F28" w:rsidSect="00322F28">
      <w:pgSz w:w="11906" w:h="16838" w:code="9"/>
      <w:pgMar w:top="5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70338" w14:textId="77777777" w:rsidR="009D3611" w:rsidRDefault="009D3611" w:rsidP="00103EC5">
      <w:pPr>
        <w:spacing w:after="0" w:line="240" w:lineRule="auto"/>
      </w:pPr>
      <w:r>
        <w:separator/>
      </w:r>
    </w:p>
  </w:endnote>
  <w:endnote w:type="continuationSeparator" w:id="0">
    <w:p w14:paraId="00B1C1F2" w14:textId="77777777" w:rsidR="009D3611" w:rsidRDefault="009D3611" w:rsidP="0010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248F3" w14:textId="77777777" w:rsidR="009D3611" w:rsidRDefault="009D3611" w:rsidP="00103EC5">
      <w:pPr>
        <w:spacing w:after="0" w:line="240" w:lineRule="auto"/>
      </w:pPr>
      <w:r>
        <w:separator/>
      </w:r>
    </w:p>
  </w:footnote>
  <w:footnote w:type="continuationSeparator" w:id="0">
    <w:p w14:paraId="3455847B" w14:textId="77777777" w:rsidR="009D3611" w:rsidRDefault="009D3611" w:rsidP="00103EC5">
      <w:pPr>
        <w:spacing w:after="0" w:line="240" w:lineRule="auto"/>
      </w:pPr>
      <w:r>
        <w:continuationSeparator/>
      </w:r>
    </w:p>
  </w:footnote>
  <w:footnote w:id="1">
    <w:p w14:paraId="0FEE18C3" w14:textId="77777777" w:rsidR="00974028" w:rsidRPr="002144FC" w:rsidRDefault="00974028">
      <w:pPr>
        <w:pStyle w:val="FootnoteText"/>
        <w:rPr>
          <w:rFonts w:ascii="Times New Roman" w:hAnsi="Times New Roman" w:cs="Times New Roman"/>
        </w:rPr>
      </w:pPr>
      <w:r w:rsidRPr="002144FC">
        <w:rPr>
          <w:rStyle w:val="FootnoteReference"/>
          <w:rFonts w:ascii="Times New Roman" w:hAnsi="Times New Roman" w:cs="Times New Roman"/>
        </w:rPr>
        <w:footnoteRef/>
      </w:r>
      <w:r w:rsidRPr="002144FC">
        <w:rPr>
          <w:rFonts w:ascii="Times New Roman" w:hAnsi="Times New Roman" w:cs="Times New Roman"/>
        </w:rPr>
        <w:t xml:space="preserve"> Any proceeding to which Order 7 of the Supreme Court (Miscellaneous Civil Proceedings) Rules applies.</w:t>
      </w:r>
    </w:p>
  </w:footnote>
  <w:footnote w:id="2">
    <w:p w14:paraId="3C38A2D1" w14:textId="77777777" w:rsidR="00103EC5" w:rsidRPr="00537476" w:rsidRDefault="00103EC5" w:rsidP="00537476">
      <w:pPr>
        <w:spacing w:after="0"/>
        <w:rPr>
          <w:rFonts w:ascii="Times New Roman" w:hAnsi="Times New Roman"/>
        </w:rPr>
      </w:pPr>
      <w:r w:rsidRPr="002144FC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144FC">
        <w:rPr>
          <w:rFonts w:ascii="Times New Roman" w:hAnsi="Times New Roman"/>
          <w:sz w:val="20"/>
          <w:szCs w:val="20"/>
        </w:rPr>
        <w:t xml:space="preserve"> See</w:t>
      </w:r>
      <w:r w:rsidR="00F13B9B">
        <w:rPr>
          <w:rFonts w:ascii="Times New Roman" w:hAnsi="Times New Roman"/>
          <w:sz w:val="20"/>
          <w:szCs w:val="20"/>
        </w:rPr>
        <w:t xml:space="preserve"> Practice Note SC CL 5 – Professional Liability List at 4.2. </w:t>
      </w:r>
      <w:r w:rsidRPr="002144FC">
        <w:rPr>
          <w:rFonts w:ascii="Times New Roman" w:hAnsi="Times New Roman"/>
          <w:sz w:val="20"/>
          <w:szCs w:val="20"/>
        </w:rPr>
        <w:t xml:space="preserve"> </w:t>
      </w:r>
    </w:p>
  </w:footnote>
  <w:footnote w:id="3">
    <w:p w14:paraId="63CB0BAF" w14:textId="4C647A64" w:rsidR="006B77F8" w:rsidRDefault="006B77F8">
      <w:pPr>
        <w:pStyle w:val="FootnoteText"/>
      </w:pPr>
      <w:r w:rsidRPr="00537476">
        <w:rPr>
          <w:rStyle w:val="FootnoteReference"/>
          <w:rFonts w:ascii="Times New Roman" w:hAnsi="Times New Roman" w:cs="Times New Roman"/>
        </w:rPr>
        <w:footnoteRef/>
      </w:r>
      <w:r w:rsidRPr="00537476">
        <w:rPr>
          <w:rFonts w:ascii="Times New Roman" w:hAnsi="Times New Roman" w:cs="Times New Roman"/>
        </w:rPr>
        <w:t xml:space="preserve"> See Practice Note SC Gen 2 – Structure of the Trial Division at 4.3(g)</w:t>
      </w:r>
      <w:r w:rsidR="000D20F8">
        <w:rPr>
          <w:rFonts w:ascii="Times New Roman" w:hAnsi="Times New Roman" w:cs="Times New Roman"/>
        </w:rPr>
        <w:t>.</w:t>
      </w:r>
    </w:p>
  </w:footnote>
  <w:footnote w:id="4">
    <w:p w14:paraId="49837614" w14:textId="6574C989" w:rsidR="000D20F8" w:rsidRDefault="000D20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500C6">
        <w:rPr>
          <w:rFonts w:ascii="Times New Roman" w:hAnsi="Times New Roman" w:cs="Times New Roman"/>
        </w:rPr>
        <w:t xml:space="preserve">Parties are referred to Rule 28A.01 of the </w:t>
      </w:r>
      <w:r w:rsidRPr="00D500C6">
        <w:rPr>
          <w:rFonts w:ascii="Times New Roman" w:hAnsi="Times New Roman" w:cs="Times New Roman"/>
          <w:i/>
        </w:rPr>
        <w:t>Supreme Court (General Civil Procedure) Rules 2015</w:t>
      </w:r>
      <w:r>
        <w:rPr>
          <w:rFonts w:ascii="Times New Roman" w:hAnsi="Times New Roman" w:cs="Times New Roman"/>
          <w:i/>
        </w:rPr>
        <w:t xml:space="preserve"> </w:t>
      </w:r>
      <w:r w:rsidRPr="00FF3652">
        <w:rPr>
          <w:rFonts w:ascii="Times New Roman" w:hAnsi="Times New Roman" w:cs="Times New Roman"/>
        </w:rPr>
        <w:t>as amended by</w:t>
      </w:r>
      <w:r>
        <w:rPr>
          <w:rFonts w:ascii="Times New Roman" w:hAnsi="Times New Roman" w:cs="Times New Roman"/>
        </w:rPr>
        <w:t xml:space="preserve"> the </w:t>
      </w:r>
      <w:r w:rsidRPr="00FF3652">
        <w:rPr>
          <w:rFonts w:ascii="Times New Roman" w:hAnsi="Times New Roman" w:cs="Times New Roman"/>
          <w:i/>
        </w:rPr>
        <w:t>Supreme Court (E-Filing Further Amendment) Rules 2017</w:t>
      </w:r>
      <w:r>
        <w:rPr>
          <w:rFonts w:ascii="Times New Roman" w:hAnsi="Times New Roman" w:cs="Times New Roman"/>
        </w:rPr>
        <w:t xml:space="preserve"> commencing 2 January 2018.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72A8C"/>
    <w:multiLevelType w:val="multilevel"/>
    <w:tmpl w:val="33F00FF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DA1A07"/>
    <w:multiLevelType w:val="hybridMultilevel"/>
    <w:tmpl w:val="7BF6053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D6"/>
    <w:rsid w:val="00001CDC"/>
    <w:rsid w:val="000D20F8"/>
    <w:rsid w:val="00101468"/>
    <w:rsid w:val="0010224C"/>
    <w:rsid w:val="00103EC5"/>
    <w:rsid w:val="00172A47"/>
    <w:rsid w:val="001B3321"/>
    <w:rsid w:val="002144FC"/>
    <w:rsid w:val="0021731C"/>
    <w:rsid w:val="00223E12"/>
    <w:rsid w:val="002F01FA"/>
    <w:rsid w:val="00322F28"/>
    <w:rsid w:val="003D1EF3"/>
    <w:rsid w:val="003D7346"/>
    <w:rsid w:val="004009E2"/>
    <w:rsid w:val="00445D52"/>
    <w:rsid w:val="00451CC4"/>
    <w:rsid w:val="00470548"/>
    <w:rsid w:val="004B76E5"/>
    <w:rsid w:val="004C42F9"/>
    <w:rsid w:val="004E1B03"/>
    <w:rsid w:val="0053106D"/>
    <w:rsid w:val="00537476"/>
    <w:rsid w:val="00555648"/>
    <w:rsid w:val="005C13DE"/>
    <w:rsid w:val="005E1840"/>
    <w:rsid w:val="006B77F8"/>
    <w:rsid w:val="006D132E"/>
    <w:rsid w:val="00771E85"/>
    <w:rsid w:val="00783D0E"/>
    <w:rsid w:val="007A5B0B"/>
    <w:rsid w:val="007B26E6"/>
    <w:rsid w:val="007B4F1B"/>
    <w:rsid w:val="007D3BB9"/>
    <w:rsid w:val="007D4439"/>
    <w:rsid w:val="00844EE0"/>
    <w:rsid w:val="00855FD0"/>
    <w:rsid w:val="008907BE"/>
    <w:rsid w:val="008A403D"/>
    <w:rsid w:val="008F2C31"/>
    <w:rsid w:val="00951F53"/>
    <w:rsid w:val="00974028"/>
    <w:rsid w:val="00977EA3"/>
    <w:rsid w:val="009D3611"/>
    <w:rsid w:val="009E7416"/>
    <w:rsid w:val="00A31E5E"/>
    <w:rsid w:val="00A62AC3"/>
    <w:rsid w:val="00A71C9B"/>
    <w:rsid w:val="00A73A30"/>
    <w:rsid w:val="00AE4347"/>
    <w:rsid w:val="00B073AC"/>
    <w:rsid w:val="00B21A2C"/>
    <w:rsid w:val="00B43E4B"/>
    <w:rsid w:val="00B74265"/>
    <w:rsid w:val="00B825F7"/>
    <w:rsid w:val="00B845CD"/>
    <w:rsid w:val="00BB0B70"/>
    <w:rsid w:val="00BB3F6D"/>
    <w:rsid w:val="00C2434E"/>
    <w:rsid w:val="00CA4080"/>
    <w:rsid w:val="00D0130C"/>
    <w:rsid w:val="00D500C6"/>
    <w:rsid w:val="00DA7402"/>
    <w:rsid w:val="00DF67DF"/>
    <w:rsid w:val="00E05DFB"/>
    <w:rsid w:val="00E11FCC"/>
    <w:rsid w:val="00E15E17"/>
    <w:rsid w:val="00E16721"/>
    <w:rsid w:val="00E20E74"/>
    <w:rsid w:val="00E73C85"/>
    <w:rsid w:val="00EC1166"/>
    <w:rsid w:val="00ED1F1D"/>
    <w:rsid w:val="00F13B9B"/>
    <w:rsid w:val="00F331BF"/>
    <w:rsid w:val="00F356AF"/>
    <w:rsid w:val="00F35CED"/>
    <w:rsid w:val="00F44E56"/>
    <w:rsid w:val="00F75381"/>
    <w:rsid w:val="00F830D6"/>
    <w:rsid w:val="00FC1501"/>
    <w:rsid w:val="00FD4DC1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3872"/>
  <w15:chartTrackingRefBased/>
  <w15:docId w15:val="{6BD97240-6005-4DBB-9F2D-40AF389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D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451CC4"/>
    <w:pPr>
      <w:keepNext/>
      <w:spacing w:before="48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51CC4"/>
    <w:pPr>
      <w:keepNext/>
      <w:spacing w:before="480" w:after="24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CC4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451CC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styleId="Bibliography">
    <w:name w:val="Bibliography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styleId="BookTitle">
    <w:name w:val="Book Title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semiHidden/>
    <w:unhideWhenUsed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styleId="ColorfulGrid">
    <w:name w:val="Colorful Grid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ColorfulGrid-Accent1">
    <w:name w:val="Colorful Grid Accent 1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ColorfulGrid-Accent2">
    <w:name w:val="Colorful Grid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ColorfulGrid-Accent3">
    <w:name w:val="Colorful Grid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ColorfulGrid-Accent4">
    <w:name w:val="Colorful Grid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ColorfulGrid-Accent5">
    <w:name w:val="Colorful Grid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ColorfulGrid-Accent6">
    <w:name w:val="Colorful Grid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ColorfulList">
    <w:name w:val="Colorful List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List-Accent1">
    <w:name w:val="Colorful List Accent 1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List-Accent2">
    <w:name w:val="Colorful List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List-Accent3">
    <w:name w:val="Colorful List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List-Accent4">
    <w:name w:val="Colorful List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List-Accent5">
    <w:name w:val="Colorful List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List-Accent6">
    <w:name w:val="Colorful List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table" w:styleId="ColorfulShading">
    <w:name w:val="Colorful Shading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Shading-Accent1">
    <w:name w:val="Colorful Shading Accent 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Shading-Accent2">
    <w:name w:val="Colorful Shading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Shading-Accent3">
    <w:name w:val="Colorful Shading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Shading-Accent4">
    <w:name w:val="Colorful Shading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Shading-Accent5">
    <w:name w:val="Colorful Shading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Shading-Accent6">
    <w:name w:val="Colorful Shading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DarkList">
    <w:name w:val="Dark List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arkList-Accent1">
    <w:name w:val="Dark List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DarkList-Accent2">
    <w:name w:val="Dark List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DarkList-Accent3">
    <w:name w:val="Dark List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DarkList-Accent4">
    <w:name w:val="Dark List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DarkList-Accent5">
    <w:name w:val="Dark List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DarkList-Accent6">
    <w:name w:val="Dark List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semiHidden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FooterChar">
    <w:name w:val="Footer Char"/>
    <w:link w:val="Footer"/>
    <w:uiPriority w:val="99"/>
    <w:semiHidden/>
    <w:rsid w:val="00B825F7"/>
    <w:rPr>
      <w:rFonts w:ascii="Arial" w:hAnsi="Arial" w:cs="Arial"/>
    </w:rPr>
  </w:style>
  <w:style w:type="character" w:styleId="FootnoteReference">
    <w:name w:val="footnote reference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semiHidden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semiHidden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semiHidden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styleId="IntenseEmphasis">
    <w:name w:val="Intense Emphasis"/>
    <w:uiPriority w:val="21"/>
    <w:qFormat/>
    <w:rsid w:val="00B825F7"/>
    <w:rPr>
      <w:i/>
      <w:iCs/>
      <w:color w:val="5B9BD5"/>
    </w:rPr>
  </w:style>
  <w:style w:type="paragraph" w:styleId="IntenseQuote">
    <w:name w:val="Intense Quote"/>
    <w:next w:val="Normal"/>
    <w:link w:val="IntenseQuote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451CC4"/>
    <w:rPr>
      <w:rFonts w:ascii="Arial" w:hAnsi="Arial" w:cs="Arial"/>
      <w:i/>
      <w:iCs/>
      <w:color w:val="006DA5"/>
    </w:rPr>
  </w:style>
  <w:style w:type="character" w:styleId="IntenseReference">
    <w:name w:val="Intense Reference"/>
    <w:uiPriority w:val="32"/>
    <w:qFormat/>
    <w:rsid w:val="00B825F7"/>
    <w:rPr>
      <w:b/>
      <w:bCs/>
      <w:smallCaps/>
      <w:color w:val="5B9BD5"/>
      <w:spacing w:val="5"/>
    </w:rPr>
  </w:style>
  <w:style w:type="table" w:styleId="LightGrid">
    <w:name w:val="Light Grid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1">
    <w:name w:val="Light Grid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2">
    <w:name w:val="Light Grid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3">
    <w:name w:val="Light Grid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4">
    <w:name w:val="Light Grid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5">
    <w:name w:val="Light Grid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6">
    <w:name w:val="Light Grid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">
    <w:name w:val="Light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">
    <w:name w:val="Light Shading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1">
    <w:name w:val="Light Shading Accent 1"/>
    <w:uiPriority w:val="60"/>
    <w:semiHidden/>
    <w:unhideWhenUsed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2">
    <w:name w:val="Light Shading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semiHidden/>
    <w:unhideWhenUsed/>
    <w:rsid w:val="00B825F7"/>
    <w:pPr>
      <w:numPr>
        <w:numId w:val="9"/>
      </w:numPr>
      <w:contextualSpacing/>
    </w:pPr>
    <w:rPr>
      <w:rFonts w:cs="Arial"/>
      <w:sz w:val="22"/>
      <w:szCs w:val="22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styleId="ListParagraph">
    <w:name w:val="List Paragraph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MediumGrid1">
    <w:name w:val="Medium Grid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1-Accent1">
    <w:name w:val="Medium Grid 1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1-Accent2">
    <w:name w:val="Medium Grid 1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1-Accent3">
    <w:name w:val="Medium Grid 1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1-Accent4">
    <w:name w:val="Medium Grid 1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1-Accent5">
    <w:name w:val="Medium Grid 1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1-Accent6">
    <w:name w:val="Medium Grid 1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2">
    <w:name w:val="Medium Grid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2-Accent1">
    <w:name w:val="Medium Grid 2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2-Accent2">
    <w:name w:val="Medium Grid 2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2-Accent3">
    <w:name w:val="Medium Grid 2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2-Accent4">
    <w:name w:val="Medium Grid 2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2-Accent5">
    <w:name w:val="Medium Grid 2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2-Accent6">
    <w:name w:val="Medium Grid 2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3">
    <w:name w:val="Medium Grid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3-Accent1">
    <w:name w:val="Medium Grid 3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3-Accent2">
    <w:name w:val="Medium Grid 3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3-Accent3">
    <w:name w:val="Medium Grid 3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3-Accent4">
    <w:name w:val="Medium Grid 3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3-Accent5">
    <w:name w:val="Medium Grid 3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3-Accent6">
    <w:name w:val="Medium Grid 3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List1">
    <w:name w:val="Medium Lis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1">
    <w:name w:val="Medium List 1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2">
    <w:name w:val="Medium List 1 Accent 2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3">
    <w:name w:val="Medium List 1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4">
    <w:name w:val="Medium List 1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5">
    <w:name w:val="Medium List 1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6">
    <w:name w:val="Medium List 1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">
    <w:name w:val="Medium Lis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2">
    <w:name w:val="Medium List 2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3">
    <w:name w:val="Medium List 2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4">
    <w:name w:val="Medium List 2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5">
    <w:name w:val="Medium List 2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6">
    <w:name w:val="Medium List 2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">
    <w:name w:val="Medium Shading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1">
    <w:name w:val="Medium Shading 1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2">
    <w:name w:val="Medium Shading 1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3">
    <w:name w:val="Medium Shading 1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4">
    <w:name w:val="Medium Shading 1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5">
    <w:name w:val="Medium Shading 1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6">
    <w:name w:val="Medium Shading 1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">
    <w:name w:val="Medium Shading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1">
    <w:name w:val="Medium Shading 2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2">
    <w:name w:val="Medium Shading 2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3">
    <w:name w:val="Medium Shading 2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4">
    <w:name w:val="Medium Shading 2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5">
    <w:name w:val="Medium Shading 2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6">
    <w:name w:val="Medium Shading 2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styleId="PlaceholderText">
    <w:name w:val="Placeholder Text"/>
    <w:uiPriority w:val="99"/>
    <w:semiHidden/>
    <w:rsid w:val="00B825F7"/>
    <w:rPr>
      <w:color w:val="808080"/>
    </w:r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Quote">
    <w:name w:val="Quote"/>
    <w:next w:val="Normal"/>
    <w:link w:val="Quote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styleId="SubtleEmphasis">
    <w:name w:val="Subtle Emphasis"/>
    <w:uiPriority w:val="19"/>
    <w:qFormat/>
    <w:rsid w:val="00B825F7"/>
    <w:rPr>
      <w:i/>
      <w:iCs/>
      <w:color w:val="404040"/>
    </w:rPr>
  </w:style>
  <w:style w:type="character" w:styleId="SubtleReference">
    <w:name w:val="Subtle Reference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styleId="TOCHeading">
    <w:name w:val="TOC Heading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9" ma:contentTypeDescription="Create a new document." ma:contentTypeScope="" ma:versionID="fd6e178f3c84e428f07a72f808ccbb0a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d6db6542bac248780420748ee41ba040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BC64-C5E7-40AA-81D1-20BF41F74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FF4F2-EC32-45BD-A083-2042388030A9}">
  <ds:schemaRefs>
    <ds:schemaRef ds:uri="http://schemas.microsoft.com/office/2006/metadata/properties"/>
    <ds:schemaRef ds:uri="263eaefd-0475-4860-b86f-622cd66f4e0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dde84cb-4b1f-4b74-b4a5-14e1a433ee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B85C56-34DD-4227-A568-77C5DCC9A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B000DA-EDBE-4DCB-8A2D-60556F122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Bicheno</dc:creator>
  <cp:keywords/>
  <dc:description/>
  <cp:lastModifiedBy>Andrew Wicking</cp:lastModifiedBy>
  <cp:revision>2</cp:revision>
  <cp:lastPrinted>2017-12-18T05:45:00Z</cp:lastPrinted>
  <dcterms:created xsi:type="dcterms:W3CDTF">2017-12-21T00:09:00Z</dcterms:created>
  <dcterms:modified xsi:type="dcterms:W3CDTF">2017-12-21T00:09:00Z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</Properties>
</file>