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D918" w14:textId="77777777"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7B25D9F5" wp14:editId="7B25D9F6">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5D919" w14:textId="77777777" w:rsidR="00D85336" w:rsidRPr="00771C95" w:rsidRDefault="00D85336" w:rsidP="00CD0331">
      <w:pPr>
        <w:autoSpaceDE w:val="0"/>
        <w:autoSpaceDN w:val="0"/>
        <w:adjustRightInd w:val="0"/>
        <w:spacing w:before="120" w:after="120"/>
        <w:jc w:val="center"/>
        <w:rPr>
          <w:b/>
          <w:bCs/>
          <w:color w:val="000000"/>
        </w:rPr>
      </w:pPr>
    </w:p>
    <w:p w14:paraId="7B25D91A" w14:textId="77777777" w:rsidR="00D85336" w:rsidRPr="00771C95" w:rsidRDefault="00D85336" w:rsidP="00CD0331">
      <w:pPr>
        <w:autoSpaceDE w:val="0"/>
        <w:autoSpaceDN w:val="0"/>
        <w:adjustRightInd w:val="0"/>
        <w:spacing w:before="120" w:after="120"/>
        <w:jc w:val="center"/>
        <w:rPr>
          <w:b/>
          <w:bCs/>
          <w:color w:val="000000"/>
        </w:rPr>
      </w:pPr>
    </w:p>
    <w:p w14:paraId="7B25D91B"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7B25D91C"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7B25D91D"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CC</w:t>
      </w:r>
      <w:r w:rsidR="00B72C47" w:rsidRPr="007917BE">
        <w:rPr>
          <w:rFonts w:ascii="Book Antiqua" w:hAnsi="Book Antiqua"/>
          <w:b/>
          <w:color w:val="000000"/>
          <w:sz w:val="28"/>
        </w:rPr>
        <w:t xml:space="preserve"> </w:t>
      </w:r>
      <w:r w:rsidR="00C97F30">
        <w:rPr>
          <w:rFonts w:ascii="Book Antiqua" w:hAnsi="Book Antiqua"/>
          <w:b/>
          <w:color w:val="000000"/>
          <w:sz w:val="28"/>
        </w:rPr>
        <w:t>5</w:t>
      </w:r>
    </w:p>
    <w:p w14:paraId="7B25D91E" w14:textId="77777777" w:rsidR="00271B59" w:rsidRDefault="00C97F30" w:rsidP="00CD0331">
      <w:pPr>
        <w:autoSpaceDE w:val="0"/>
        <w:autoSpaceDN w:val="0"/>
        <w:adjustRightInd w:val="0"/>
        <w:spacing w:before="120" w:after="120"/>
        <w:jc w:val="center"/>
        <w:rPr>
          <w:rFonts w:ascii="Book Antiqua" w:hAnsi="Book Antiqua"/>
          <w:b/>
          <w:color w:val="000000"/>
          <w:sz w:val="28"/>
        </w:rPr>
      </w:pPr>
      <w:r w:rsidRPr="00C97F30">
        <w:rPr>
          <w:rFonts w:ascii="Book Antiqua" w:hAnsi="Book Antiqua"/>
          <w:b/>
          <w:color w:val="000000"/>
          <w:sz w:val="28"/>
        </w:rPr>
        <w:t>RedCrest Electronic Case Management System (Commercial Court)</w:t>
      </w:r>
    </w:p>
    <w:p w14:paraId="7B25D91F"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7B25D920" w14:textId="77777777"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7B25D921" w14:textId="77777777" w:rsidR="00B72C47" w:rsidRPr="007917BE" w:rsidRDefault="00B72C47" w:rsidP="006B7674">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7B25D922" w14:textId="77777777" w:rsidR="00C97F30" w:rsidRPr="009E5636" w:rsidRDefault="00C97F30" w:rsidP="006B7674">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 xml:space="preserve">The purpose of this Practice Note is to outline the conduct of proceedings initiated on RedCrest, the electronic </w:t>
      </w:r>
      <w:r w:rsidR="006C0D1E">
        <w:rPr>
          <w:rFonts w:ascii="Book Antiqua" w:hAnsi="Book Antiqua"/>
          <w:sz w:val="24"/>
          <w:szCs w:val="24"/>
        </w:rPr>
        <w:t>lodgement, c</w:t>
      </w:r>
      <w:r>
        <w:rPr>
          <w:rFonts w:ascii="Book Antiqua" w:hAnsi="Book Antiqua"/>
          <w:sz w:val="24"/>
          <w:szCs w:val="24"/>
        </w:rPr>
        <w:t>ourt file and case administration</w:t>
      </w:r>
      <w:r w:rsidRPr="009E5636">
        <w:rPr>
          <w:rFonts w:ascii="Book Antiqua" w:hAnsi="Book Antiqua"/>
          <w:sz w:val="24"/>
          <w:szCs w:val="24"/>
        </w:rPr>
        <w:t xml:space="preserve"> system </w:t>
      </w:r>
      <w:r>
        <w:rPr>
          <w:rFonts w:ascii="Book Antiqua" w:hAnsi="Book Antiqua"/>
          <w:sz w:val="24"/>
          <w:szCs w:val="24"/>
        </w:rPr>
        <w:t xml:space="preserve">currently </w:t>
      </w:r>
      <w:r w:rsidRPr="009E5636">
        <w:rPr>
          <w:rFonts w:ascii="Book Antiqua" w:hAnsi="Book Antiqua"/>
          <w:sz w:val="24"/>
          <w:szCs w:val="24"/>
        </w:rPr>
        <w:t xml:space="preserve">used in the </w:t>
      </w:r>
      <w:r>
        <w:rPr>
          <w:rFonts w:ascii="Book Antiqua" w:hAnsi="Book Antiqua"/>
          <w:sz w:val="24"/>
          <w:szCs w:val="24"/>
        </w:rPr>
        <w:t xml:space="preserve">Commercial </w:t>
      </w:r>
      <w:r w:rsidRPr="009E5636">
        <w:rPr>
          <w:rFonts w:ascii="Book Antiqua" w:hAnsi="Book Antiqua"/>
          <w:sz w:val="24"/>
          <w:szCs w:val="24"/>
        </w:rPr>
        <w:t>Court.</w:t>
      </w:r>
    </w:p>
    <w:p w14:paraId="7B25D923" w14:textId="5E71F954" w:rsidR="00C97F30" w:rsidRDefault="00C97F30" w:rsidP="006B7674">
      <w:pPr>
        <w:pStyle w:val="NoSpacing"/>
        <w:numPr>
          <w:ilvl w:val="1"/>
          <w:numId w:val="23"/>
        </w:numPr>
        <w:spacing w:before="120" w:after="120"/>
        <w:jc w:val="both"/>
        <w:rPr>
          <w:rFonts w:ascii="Book Antiqua" w:hAnsi="Book Antiqua"/>
          <w:sz w:val="24"/>
          <w:szCs w:val="24"/>
        </w:rPr>
      </w:pPr>
      <w:r w:rsidRPr="009E5636">
        <w:rPr>
          <w:rFonts w:ascii="Book Antiqua" w:hAnsi="Book Antiqua"/>
          <w:sz w:val="24"/>
          <w:szCs w:val="24"/>
        </w:rPr>
        <w:t>RedCrest is used</w:t>
      </w:r>
      <w:r>
        <w:rPr>
          <w:rFonts w:ascii="Book Antiqua" w:hAnsi="Book Antiqua"/>
          <w:sz w:val="24"/>
          <w:szCs w:val="24"/>
        </w:rPr>
        <w:t xml:space="preserve"> for proceedings</w:t>
      </w:r>
      <w:r w:rsidRPr="009E5636">
        <w:rPr>
          <w:rFonts w:ascii="Book Antiqua" w:hAnsi="Book Antiqua"/>
          <w:sz w:val="24"/>
          <w:szCs w:val="24"/>
        </w:rPr>
        <w:t xml:space="preserve"> in the </w:t>
      </w:r>
      <w:r>
        <w:rPr>
          <w:rFonts w:ascii="Book Antiqua" w:hAnsi="Book Antiqua"/>
          <w:sz w:val="24"/>
          <w:szCs w:val="24"/>
        </w:rPr>
        <w:t xml:space="preserve">following </w:t>
      </w:r>
      <w:r w:rsidR="000E3931">
        <w:rPr>
          <w:rFonts w:ascii="Book Antiqua" w:hAnsi="Book Antiqua"/>
          <w:sz w:val="24"/>
          <w:szCs w:val="24"/>
        </w:rPr>
        <w:t>J</w:t>
      </w:r>
      <w:r w:rsidR="000E3931" w:rsidRPr="009E5636">
        <w:rPr>
          <w:rFonts w:ascii="Book Antiqua" w:hAnsi="Book Antiqua"/>
          <w:sz w:val="24"/>
          <w:szCs w:val="24"/>
        </w:rPr>
        <w:t>udge</w:t>
      </w:r>
      <w:r>
        <w:rPr>
          <w:rFonts w:ascii="Book Antiqua" w:hAnsi="Book Antiqua"/>
          <w:sz w:val="24"/>
          <w:szCs w:val="24"/>
        </w:rPr>
        <w:t>-</w:t>
      </w:r>
      <w:r w:rsidRPr="009E5636">
        <w:rPr>
          <w:rFonts w:ascii="Book Antiqua" w:hAnsi="Book Antiqua"/>
          <w:sz w:val="24"/>
          <w:szCs w:val="24"/>
        </w:rPr>
        <w:t xml:space="preserve">managed </w:t>
      </w:r>
      <w:r>
        <w:rPr>
          <w:rFonts w:ascii="Book Antiqua" w:hAnsi="Book Antiqua"/>
          <w:sz w:val="24"/>
          <w:szCs w:val="24"/>
        </w:rPr>
        <w:t xml:space="preserve">lists in the Commercial Court: </w:t>
      </w:r>
    </w:p>
    <w:p w14:paraId="7B25D924" w14:textId="77777777" w:rsidR="00C97F30" w:rsidRDefault="00C97F30" w:rsidP="006B7674">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General Commercial Lists;</w:t>
      </w:r>
    </w:p>
    <w:p w14:paraId="7B25D925" w14:textId="77777777" w:rsidR="00C97F30" w:rsidRDefault="00C97F30" w:rsidP="006B7674">
      <w:pPr>
        <w:pStyle w:val="ListParagraph"/>
        <w:numPr>
          <w:ilvl w:val="2"/>
          <w:numId w:val="23"/>
        </w:numPr>
        <w:spacing w:before="120" w:after="120"/>
        <w:ind w:hanging="11"/>
        <w:contextualSpacing w:val="0"/>
        <w:jc w:val="both"/>
        <w:rPr>
          <w:rFonts w:ascii="Book Antiqua" w:hAnsi="Book Antiqua"/>
          <w:sz w:val="24"/>
          <w:szCs w:val="24"/>
        </w:rPr>
      </w:pPr>
      <w:r w:rsidRPr="009E5636">
        <w:rPr>
          <w:rFonts w:ascii="Book Antiqua" w:hAnsi="Book Antiqua"/>
          <w:sz w:val="24"/>
          <w:szCs w:val="24"/>
        </w:rPr>
        <w:t>T</w:t>
      </w:r>
      <w:r>
        <w:rPr>
          <w:rFonts w:ascii="Book Antiqua" w:hAnsi="Book Antiqua"/>
          <w:sz w:val="24"/>
          <w:szCs w:val="24"/>
        </w:rPr>
        <w:t xml:space="preserve">echnology, </w:t>
      </w:r>
      <w:r w:rsidRPr="009E5636">
        <w:rPr>
          <w:rFonts w:ascii="Book Antiqua" w:hAnsi="Book Antiqua"/>
          <w:sz w:val="24"/>
          <w:szCs w:val="24"/>
        </w:rPr>
        <w:t>E</w:t>
      </w:r>
      <w:r>
        <w:rPr>
          <w:rFonts w:ascii="Book Antiqua" w:hAnsi="Book Antiqua"/>
          <w:sz w:val="24"/>
          <w:szCs w:val="24"/>
        </w:rPr>
        <w:t xml:space="preserve">ngineering and </w:t>
      </w:r>
      <w:r w:rsidRPr="009E5636">
        <w:rPr>
          <w:rFonts w:ascii="Book Antiqua" w:hAnsi="Book Antiqua"/>
          <w:sz w:val="24"/>
          <w:szCs w:val="24"/>
        </w:rPr>
        <w:t>C</w:t>
      </w:r>
      <w:r>
        <w:rPr>
          <w:rFonts w:ascii="Book Antiqua" w:hAnsi="Book Antiqua"/>
          <w:sz w:val="24"/>
          <w:szCs w:val="24"/>
        </w:rPr>
        <w:t>onstruction</w:t>
      </w:r>
      <w:r w:rsidRPr="009E5636">
        <w:rPr>
          <w:rFonts w:ascii="Book Antiqua" w:hAnsi="Book Antiqua"/>
          <w:sz w:val="24"/>
          <w:szCs w:val="24"/>
        </w:rPr>
        <w:t xml:space="preserve"> List</w:t>
      </w:r>
      <w:r>
        <w:rPr>
          <w:rFonts w:ascii="Book Antiqua" w:hAnsi="Book Antiqua"/>
          <w:sz w:val="24"/>
          <w:szCs w:val="24"/>
        </w:rPr>
        <w:t>;</w:t>
      </w:r>
      <w:r w:rsidRPr="009E5636">
        <w:rPr>
          <w:rFonts w:ascii="Book Antiqua" w:hAnsi="Book Antiqua"/>
          <w:sz w:val="24"/>
          <w:szCs w:val="24"/>
        </w:rPr>
        <w:t xml:space="preserve"> </w:t>
      </w:r>
    </w:p>
    <w:p w14:paraId="7B25D926" w14:textId="4CDF4A84" w:rsidR="00C97F30" w:rsidRDefault="00F64FAA" w:rsidP="006B7674">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 xml:space="preserve">RedCrest </w:t>
      </w:r>
      <w:r w:rsidR="00C97F30" w:rsidRPr="009E5636">
        <w:rPr>
          <w:rFonts w:ascii="Book Antiqua" w:hAnsi="Book Antiqua"/>
          <w:sz w:val="24"/>
          <w:szCs w:val="24"/>
        </w:rPr>
        <w:t xml:space="preserve">Corporations List </w:t>
      </w:r>
      <w:r w:rsidR="00C97F30">
        <w:rPr>
          <w:rFonts w:ascii="Book Antiqua" w:hAnsi="Book Antiqua"/>
          <w:sz w:val="24"/>
          <w:szCs w:val="24"/>
        </w:rPr>
        <w:t>(</w:t>
      </w:r>
      <w:r>
        <w:rPr>
          <w:rFonts w:ascii="Book Antiqua" w:hAnsi="Book Antiqua"/>
          <w:sz w:val="24"/>
          <w:szCs w:val="24"/>
        </w:rPr>
        <w:t xml:space="preserve">which excludes </w:t>
      </w:r>
      <w:r w:rsidR="009863A0">
        <w:rPr>
          <w:rFonts w:ascii="Book Antiqua" w:hAnsi="Book Antiqua"/>
          <w:sz w:val="24"/>
          <w:szCs w:val="24"/>
        </w:rPr>
        <w:t>A</w:t>
      </w:r>
      <w:r w:rsidR="00AA4005">
        <w:rPr>
          <w:rFonts w:ascii="Book Antiqua" w:hAnsi="Book Antiqua"/>
          <w:sz w:val="24"/>
          <w:szCs w:val="24"/>
        </w:rPr>
        <w:t xml:space="preserve">ssociate </w:t>
      </w:r>
      <w:r w:rsidR="009863A0">
        <w:rPr>
          <w:rFonts w:ascii="Book Antiqua" w:hAnsi="Book Antiqua"/>
          <w:sz w:val="24"/>
          <w:szCs w:val="24"/>
        </w:rPr>
        <w:t>J</w:t>
      </w:r>
      <w:r w:rsidR="00AA4005">
        <w:rPr>
          <w:rFonts w:ascii="Book Antiqua" w:hAnsi="Book Antiqua"/>
          <w:sz w:val="24"/>
          <w:szCs w:val="24"/>
        </w:rPr>
        <w:t>udge-</w:t>
      </w:r>
      <w:r w:rsidR="00C97F30" w:rsidRPr="009E5636">
        <w:rPr>
          <w:rFonts w:ascii="Book Antiqua" w:hAnsi="Book Antiqua"/>
          <w:sz w:val="24"/>
          <w:szCs w:val="24"/>
        </w:rPr>
        <w:t>managed</w:t>
      </w:r>
      <w:r w:rsidR="00C97F30">
        <w:rPr>
          <w:rFonts w:ascii="Book Antiqua" w:hAnsi="Book Antiqua"/>
          <w:sz w:val="24"/>
          <w:szCs w:val="24"/>
        </w:rPr>
        <w:t xml:space="preserve"> proceedings</w:t>
      </w:r>
      <w:r w:rsidR="00C97F30" w:rsidRPr="009E5636">
        <w:rPr>
          <w:rFonts w:ascii="Book Antiqua" w:hAnsi="Book Antiqua"/>
          <w:sz w:val="24"/>
          <w:szCs w:val="24"/>
        </w:rPr>
        <w:t>)</w:t>
      </w:r>
      <w:r w:rsidR="00C97F30">
        <w:rPr>
          <w:rFonts w:ascii="Book Antiqua" w:hAnsi="Book Antiqua"/>
          <w:sz w:val="24"/>
          <w:szCs w:val="24"/>
        </w:rPr>
        <w:t>;</w:t>
      </w:r>
      <w:r w:rsidR="00C97F30" w:rsidRPr="009E5636">
        <w:rPr>
          <w:rFonts w:ascii="Book Antiqua" w:hAnsi="Book Antiqua"/>
          <w:sz w:val="24"/>
          <w:szCs w:val="24"/>
        </w:rPr>
        <w:t xml:space="preserve"> </w:t>
      </w:r>
    </w:p>
    <w:p w14:paraId="7B25D927" w14:textId="2D3A825F" w:rsidR="00C97F30" w:rsidRDefault="00C97F30" w:rsidP="006B7674">
      <w:pPr>
        <w:pStyle w:val="ListParagraph"/>
        <w:numPr>
          <w:ilvl w:val="2"/>
          <w:numId w:val="23"/>
        </w:numPr>
        <w:spacing w:before="120" w:after="120"/>
        <w:ind w:hanging="11"/>
        <w:contextualSpacing w:val="0"/>
        <w:jc w:val="both"/>
        <w:rPr>
          <w:rFonts w:ascii="Book Antiqua" w:hAnsi="Book Antiqua"/>
          <w:sz w:val="24"/>
          <w:szCs w:val="24"/>
        </w:rPr>
      </w:pPr>
      <w:r w:rsidRPr="009E5636">
        <w:rPr>
          <w:rFonts w:ascii="Book Antiqua" w:hAnsi="Book Antiqua"/>
          <w:sz w:val="24"/>
          <w:szCs w:val="24"/>
        </w:rPr>
        <w:lastRenderedPageBreak/>
        <w:t>Intellectual Property List</w:t>
      </w:r>
      <w:r>
        <w:rPr>
          <w:rFonts w:ascii="Book Antiqua" w:hAnsi="Book Antiqua"/>
          <w:sz w:val="24"/>
          <w:szCs w:val="24"/>
        </w:rPr>
        <w:t xml:space="preserve">; </w:t>
      </w:r>
    </w:p>
    <w:p w14:paraId="6E1F84EB" w14:textId="120FB884" w:rsidR="00FB5EEA" w:rsidRDefault="00C97F30" w:rsidP="006B7674">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Insurance List</w:t>
      </w:r>
      <w:r w:rsidR="00FB5EEA">
        <w:rPr>
          <w:rFonts w:ascii="Book Antiqua" w:hAnsi="Book Antiqua"/>
          <w:sz w:val="24"/>
          <w:szCs w:val="24"/>
        </w:rPr>
        <w:t>;</w:t>
      </w:r>
    </w:p>
    <w:p w14:paraId="796AD238" w14:textId="576C1575" w:rsidR="00FB5EEA" w:rsidRDefault="00FB5EEA" w:rsidP="006B7674">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Admiralty List;</w:t>
      </w:r>
    </w:p>
    <w:p w14:paraId="03FDF816" w14:textId="5677B098" w:rsidR="00FB5EEA" w:rsidRDefault="00FB5EEA" w:rsidP="006B7674">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 xml:space="preserve">Arbitration List; and </w:t>
      </w:r>
    </w:p>
    <w:p w14:paraId="7B25D928" w14:textId="58C41C51" w:rsidR="00C97F30" w:rsidRPr="008C21D8" w:rsidRDefault="00FB5EEA" w:rsidP="00FB5EEA">
      <w:pPr>
        <w:pStyle w:val="ListParagraph"/>
        <w:numPr>
          <w:ilvl w:val="2"/>
          <w:numId w:val="23"/>
        </w:numPr>
        <w:spacing w:before="120" w:after="120"/>
        <w:ind w:hanging="11"/>
        <w:contextualSpacing w:val="0"/>
        <w:jc w:val="both"/>
        <w:rPr>
          <w:rFonts w:ascii="Book Antiqua" w:hAnsi="Book Antiqua"/>
          <w:sz w:val="24"/>
          <w:szCs w:val="24"/>
        </w:rPr>
      </w:pPr>
      <w:r>
        <w:rPr>
          <w:rFonts w:ascii="Book Antiqua" w:hAnsi="Book Antiqua"/>
          <w:sz w:val="24"/>
          <w:szCs w:val="24"/>
        </w:rPr>
        <w:t>Taxation List</w:t>
      </w:r>
      <w:r w:rsidR="00C97F30" w:rsidRPr="008C21D8">
        <w:rPr>
          <w:rFonts w:ascii="Book Antiqua" w:hAnsi="Book Antiqua"/>
          <w:sz w:val="24"/>
          <w:szCs w:val="24"/>
        </w:rPr>
        <w:t>.</w:t>
      </w:r>
    </w:p>
    <w:p w14:paraId="7B25D929" w14:textId="3B8B9423" w:rsidR="00C97F30" w:rsidRPr="009E5636" w:rsidRDefault="00C97F30" w:rsidP="00D658C1">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This Practice Note is to be read in conjunction with</w:t>
      </w:r>
      <w:r w:rsidRPr="00485544">
        <w:rPr>
          <w:rFonts w:ascii="Book Antiqua" w:hAnsi="Book Antiqua"/>
          <w:sz w:val="24"/>
          <w:szCs w:val="24"/>
        </w:rPr>
        <w:t xml:space="preserve"> </w:t>
      </w:r>
      <w:r w:rsidRPr="009E5636">
        <w:rPr>
          <w:rFonts w:ascii="Book Antiqua" w:hAnsi="Book Antiqua"/>
          <w:sz w:val="24"/>
          <w:szCs w:val="24"/>
        </w:rPr>
        <w:t xml:space="preserve">Order 28A of the </w:t>
      </w:r>
      <w:r w:rsidRPr="009E5636">
        <w:rPr>
          <w:rFonts w:ascii="Book Antiqua" w:hAnsi="Book Antiqua"/>
          <w:i/>
          <w:sz w:val="24"/>
          <w:szCs w:val="24"/>
        </w:rPr>
        <w:t xml:space="preserve">Supreme Court (General Civil Procedure) Rules </w:t>
      </w:r>
      <w:r w:rsidRPr="003D7CBC">
        <w:rPr>
          <w:rFonts w:ascii="Book Antiqua" w:hAnsi="Book Antiqua"/>
          <w:i/>
          <w:sz w:val="24"/>
          <w:szCs w:val="24"/>
        </w:rPr>
        <w:t>2015</w:t>
      </w:r>
      <w:r w:rsidR="00E54BCF">
        <w:rPr>
          <w:rFonts w:ascii="Book Antiqua" w:hAnsi="Book Antiqua"/>
          <w:sz w:val="24"/>
          <w:szCs w:val="24"/>
        </w:rPr>
        <w:t>,</w:t>
      </w:r>
      <w:r w:rsidR="00485544">
        <w:rPr>
          <w:rFonts w:ascii="Book Antiqua" w:hAnsi="Book Antiqua"/>
          <w:sz w:val="24"/>
          <w:szCs w:val="24"/>
        </w:rPr>
        <w:t xml:space="preserve"> </w:t>
      </w:r>
      <w:r w:rsidRPr="009E5636">
        <w:rPr>
          <w:rFonts w:ascii="Book Antiqua" w:hAnsi="Book Antiqua"/>
          <w:sz w:val="24"/>
          <w:szCs w:val="24"/>
        </w:rPr>
        <w:t xml:space="preserve">and the </w:t>
      </w:r>
      <w:r w:rsidRPr="009E5636">
        <w:rPr>
          <w:rFonts w:ascii="Book Antiqua" w:hAnsi="Book Antiqua"/>
          <w:i/>
          <w:sz w:val="24"/>
          <w:szCs w:val="24"/>
        </w:rPr>
        <w:t xml:space="preserve">Supreme Court (Corporations) Rules </w:t>
      </w:r>
      <w:r w:rsidRPr="003D7CBC">
        <w:rPr>
          <w:rFonts w:ascii="Book Antiqua" w:hAnsi="Book Antiqua"/>
          <w:i/>
          <w:sz w:val="24"/>
          <w:szCs w:val="24"/>
        </w:rPr>
        <w:t>2013</w:t>
      </w:r>
      <w:r w:rsidRPr="009E5636">
        <w:rPr>
          <w:rFonts w:ascii="Book Antiqua" w:hAnsi="Book Antiqua"/>
          <w:sz w:val="24"/>
          <w:szCs w:val="24"/>
        </w:rPr>
        <w:t>.</w:t>
      </w:r>
      <w:r w:rsidR="00D658C1">
        <w:rPr>
          <w:rFonts w:ascii="Book Antiqua" w:hAnsi="Book Antiqua"/>
          <w:sz w:val="24"/>
          <w:szCs w:val="24"/>
        </w:rPr>
        <w:t xml:space="preserve"> </w:t>
      </w:r>
    </w:p>
    <w:p w14:paraId="7B25D92A" w14:textId="77777777" w:rsidR="00C97F30" w:rsidRPr="009E5636" w:rsidRDefault="00C97F30" w:rsidP="006B7674">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 xml:space="preserve">This Practice Note is also to be read in conjunction with: </w:t>
      </w:r>
    </w:p>
    <w:p w14:paraId="7B25D92B" w14:textId="77777777" w:rsidR="00C97F30" w:rsidRPr="00B829FF" w:rsidRDefault="00C97F30" w:rsidP="006B7674">
      <w:pPr>
        <w:pStyle w:val="ListParagraph"/>
        <w:numPr>
          <w:ilvl w:val="2"/>
          <w:numId w:val="23"/>
        </w:numPr>
        <w:spacing w:before="120" w:after="120"/>
        <w:ind w:hanging="11"/>
        <w:contextualSpacing w:val="0"/>
        <w:jc w:val="both"/>
        <w:rPr>
          <w:rFonts w:ascii="Book Antiqua" w:hAnsi="Book Antiqua"/>
          <w:sz w:val="24"/>
          <w:szCs w:val="24"/>
        </w:rPr>
      </w:pPr>
      <w:r w:rsidRPr="00B829FF">
        <w:rPr>
          <w:rFonts w:ascii="Book Antiqua" w:hAnsi="Book Antiqua"/>
          <w:sz w:val="24"/>
          <w:szCs w:val="24"/>
        </w:rPr>
        <w:t>Practice Note SC CC 1 – Commercial Court;</w:t>
      </w:r>
    </w:p>
    <w:p w14:paraId="7B25D92C" w14:textId="74BED80E" w:rsidR="00C97F30" w:rsidRPr="00B829FF" w:rsidRDefault="00C97F30" w:rsidP="006B7674">
      <w:pPr>
        <w:pStyle w:val="ListParagraph"/>
        <w:numPr>
          <w:ilvl w:val="2"/>
          <w:numId w:val="23"/>
        </w:numPr>
        <w:spacing w:before="120" w:after="120"/>
        <w:ind w:left="1418" w:hanging="709"/>
        <w:contextualSpacing w:val="0"/>
        <w:jc w:val="both"/>
        <w:rPr>
          <w:rFonts w:ascii="Book Antiqua" w:hAnsi="Book Antiqua"/>
          <w:sz w:val="24"/>
          <w:szCs w:val="24"/>
        </w:rPr>
      </w:pPr>
      <w:r w:rsidRPr="00B829FF">
        <w:rPr>
          <w:rFonts w:ascii="Book Antiqua" w:hAnsi="Book Antiqua"/>
          <w:sz w:val="24"/>
          <w:szCs w:val="24"/>
        </w:rPr>
        <w:t>Practice Note SC CC 7 – Impositi</w:t>
      </w:r>
      <w:r w:rsidR="00AA4005">
        <w:rPr>
          <w:rFonts w:ascii="Book Antiqua" w:hAnsi="Book Antiqua"/>
          <w:sz w:val="24"/>
          <w:szCs w:val="24"/>
        </w:rPr>
        <w:t xml:space="preserve">on of Fees in Commercial Court </w:t>
      </w:r>
      <w:r w:rsidR="000E3931">
        <w:rPr>
          <w:rFonts w:ascii="Book Antiqua" w:hAnsi="Book Antiqua"/>
          <w:sz w:val="24"/>
          <w:szCs w:val="24"/>
        </w:rPr>
        <w:t>J</w:t>
      </w:r>
      <w:r w:rsidRPr="00B829FF">
        <w:rPr>
          <w:rFonts w:ascii="Book Antiqua" w:hAnsi="Book Antiqua"/>
          <w:sz w:val="24"/>
          <w:szCs w:val="24"/>
        </w:rPr>
        <w:t>udge-</w:t>
      </w:r>
      <w:r w:rsidR="00AA4005">
        <w:rPr>
          <w:rFonts w:ascii="Book Antiqua" w:hAnsi="Book Antiqua"/>
          <w:sz w:val="24"/>
          <w:szCs w:val="24"/>
        </w:rPr>
        <w:t>m</w:t>
      </w:r>
      <w:r w:rsidRPr="00B829FF">
        <w:rPr>
          <w:rFonts w:ascii="Book Antiqua" w:hAnsi="Book Antiqua"/>
          <w:sz w:val="24"/>
          <w:szCs w:val="24"/>
        </w:rPr>
        <w:t xml:space="preserve">anaged </w:t>
      </w:r>
      <w:r w:rsidR="00AA4005">
        <w:rPr>
          <w:rFonts w:ascii="Book Antiqua" w:hAnsi="Book Antiqua"/>
          <w:sz w:val="24"/>
          <w:szCs w:val="24"/>
        </w:rPr>
        <w:t>l</w:t>
      </w:r>
      <w:r w:rsidRPr="00B829FF">
        <w:rPr>
          <w:rFonts w:ascii="Book Antiqua" w:hAnsi="Book Antiqua"/>
          <w:sz w:val="24"/>
          <w:szCs w:val="24"/>
        </w:rPr>
        <w:t>ists;</w:t>
      </w:r>
    </w:p>
    <w:p w14:paraId="7B25D92D" w14:textId="77777777" w:rsidR="00C97F30" w:rsidRPr="00B829FF" w:rsidRDefault="00C97F30" w:rsidP="006B7674">
      <w:pPr>
        <w:pStyle w:val="ListParagraph"/>
        <w:numPr>
          <w:ilvl w:val="2"/>
          <w:numId w:val="23"/>
        </w:numPr>
        <w:spacing w:before="120" w:after="120"/>
        <w:ind w:left="1429"/>
        <w:contextualSpacing w:val="0"/>
        <w:jc w:val="both"/>
        <w:rPr>
          <w:rFonts w:ascii="Book Antiqua" w:hAnsi="Book Antiqua"/>
          <w:sz w:val="24"/>
          <w:szCs w:val="24"/>
        </w:rPr>
      </w:pPr>
      <w:r w:rsidRPr="00011B14">
        <w:rPr>
          <w:rFonts w:ascii="Book Antiqua" w:hAnsi="Book Antiqua"/>
          <w:sz w:val="24"/>
          <w:szCs w:val="24"/>
        </w:rPr>
        <w:t>Notice to the Profession February 2016 - Updated Practice Court Procedures (Commercial Court); and</w:t>
      </w:r>
    </w:p>
    <w:p w14:paraId="7B25D92E" w14:textId="77777777" w:rsidR="00C97F30" w:rsidRPr="009E5636" w:rsidRDefault="00C97F30" w:rsidP="006B7674">
      <w:pPr>
        <w:pStyle w:val="ListParagraph"/>
        <w:numPr>
          <w:ilvl w:val="2"/>
          <w:numId w:val="23"/>
        </w:numPr>
        <w:spacing w:before="120" w:after="120"/>
        <w:ind w:left="1418" w:hanging="709"/>
        <w:contextualSpacing w:val="0"/>
        <w:jc w:val="both"/>
        <w:rPr>
          <w:rFonts w:ascii="Book Antiqua" w:hAnsi="Book Antiqua"/>
          <w:sz w:val="24"/>
          <w:szCs w:val="24"/>
        </w:rPr>
      </w:pPr>
      <w:r w:rsidRPr="009E5636">
        <w:rPr>
          <w:rFonts w:ascii="Book Antiqua" w:hAnsi="Book Antiqua"/>
          <w:sz w:val="24"/>
          <w:szCs w:val="24"/>
        </w:rPr>
        <w:t>The How-to Guide for Practitioners (</w:t>
      </w:r>
      <w:r>
        <w:rPr>
          <w:rFonts w:ascii="Book Antiqua" w:hAnsi="Book Antiqua"/>
          <w:sz w:val="24"/>
          <w:szCs w:val="24"/>
        </w:rPr>
        <w:t xml:space="preserve">maintained and updated by the </w:t>
      </w:r>
      <w:r w:rsidR="00D52D19">
        <w:rPr>
          <w:rFonts w:ascii="Book Antiqua" w:hAnsi="Book Antiqua"/>
          <w:sz w:val="24"/>
          <w:szCs w:val="24"/>
        </w:rPr>
        <w:t xml:space="preserve">Commercial Court Registry </w:t>
      </w:r>
      <w:r w:rsidRPr="009E5636">
        <w:rPr>
          <w:rFonts w:ascii="Book Antiqua" w:hAnsi="Book Antiqua"/>
          <w:sz w:val="24"/>
          <w:szCs w:val="24"/>
        </w:rPr>
        <w:t xml:space="preserve">and available for download from the RedCrest Homepage at </w:t>
      </w:r>
      <w:hyperlink r:id="rId14" w:history="1">
        <w:r w:rsidRPr="009E5636">
          <w:rPr>
            <w:rStyle w:val="Hyperlink"/>
            <w:rFonts w:ascii="Book Antiqua" w:hAnsi="Book Antiqua"/>
            <w:sz w:val="24"/>
            <w:szCs w:val="24"/>
          </w:rPr>
          <w:t>www.redcrest.com.au</w:t>
        </w:r>
      </w:hyperlink>
      <w:r>
        <w:rPr>
          <w:rFonts w:ascii="Book Antiqua" w:hAnsi="Book Antiqua"/>
          <w:sz w:val="24"/>
          <w:szCs w:val="24"/>
        </w:rPr>
        <w:t>).</w:t>
      </w:r>
      <w:r w:rsidRPr="009E5636">
        <w:rPr>
          <w:rFonts w:ascii="Book Antiqua" w:hAnsi="Book Antiqua"/>
          <w:sz w:val="24"/>
          <w:szCs w:val="24"/>
        </w:rPr>
        <w:t xml:space="preserve"> </w:t>
      </w:r>
    </w:p>
    <w:p w14:paraId="7B25D92F" w14:textId="77777777" w:rsidR="00C97F30" w:rsidRPr="00976244" w:rsidRDefault="00C97F30" w:rsidP="006B7674">
      <w:pPr>
        <w:pStyle w:val="ListParagraph"/>
        <w:numPr>
          <w:ilvl w:val="1"/>
          <w:numId w:val="23"/>
        </w:numPr>
        <w:spacing w:before="120" w:after="120"/>
        <w:contextualSpacing w:val="0"/>
        <w:jc w:val="both"/>
        <w:rPr>
          <w:rFonts w:ascii="Book Antiqua" w:hAnsi="Book Antiqua"/>
          <w:sz w:val="24"/>
          <w:szCs w:val="24"/>
        </w:rPr>
      </w:pPr>
      <w:r w:rsidRPr="009E5636">
        <w:rPr>
          <w:rFonts w:ascii="Book Antiqua" w:hAnsi="Book Antiqua"/>
          <w:sz w:val="24"/>
          <w:szCs w:val="24"/>
        </w:rPr>
        <w:t xml:space="preserve">All enquiries in relation to RedCrest may be directed to the Commercial Court Registry at </w:t>
      </w:r>
      <w:hyperlink r:id="rId15" w:history="1">
        <w:r w:rsidRPr="009E5636">
          <w:rPr>
            <w:rStyle w:val="Hyperlink"/>
            <w:rFonts w:ascii="Book Antiqua" w:hAnsi="Book Antiqua"/>
            <w:sz w:val="24"/>
            <w:szCs w:val="24"/>
          </w:rPr>
          <w:t>redcrest@supcourt.vic.gov.au</w:t>
        </w:r>
      </w:hyperlink>
      <w:r w:rsidRPr="009E5636">
        <w:rPr>
          <w:rFonts w:ascii="Book Antiqua" w:hAnsi="Book Antiqua"/>
          <w:sz w:val="24"/>
          <w:szCs w:val="24"/>
        </w:rPr>
        <w:t xml:space="preserve"> or on 03 9603 6042.</w:t>
      </w:r>
    </w:p>
    <w:p w14:paraId="7B25D930"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7B25D931" w14:textId="77777777" w:rsidR="00277B7B" w:rsidRPr="00277B7B" w:rsidRDefault="00277B7B" w:rsidP="00CD0331">
      <w:pPr>
        <w:pStyle w:val="Heading1"/>
        <w:spacing w:before="120" w:after="120"/>
        <w:rPr>
          <w:rFonts w:ascii="Book Antiqua" w:hAnsi="Book Antiqua"/>
          <w:szCs w:val="24"/>
        </w:rPr>
      </w:pPr>
      <w:r>
        <w:rPr>
          <w:rFonts w:ascii="Book Antiqua" w:hAnsi="Book Antiqua"/>
          <w:szCs w:val="24"/>
        </w:rPr>
        <w:lastRenderedPageBreak/>
        <w:t>COMMENCEMENT</w:t>
      </w:r>
    </w:p>
    <w:p w14:paraId="7B25D932" w14:textId="212B5E7D" w:rsidR="005C7DA4" w:rsidRPr="00277B7B" w:rsidRDefault="005C7DA4" w:rsidP="005C7DA4">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Th</w:t>
      </w:r>
      <w:r>
        <w:rPr>
          <w:rFonts w:ascii="Book Antiqua" w:hAnsi="Book Antiqua"/>
          <w:sz w:val="24"/>
          <w:szCs w:val="24"/>
        </w:rPr>
        <w:t xml:space="preserve">is Practice Note was </w:t>
      </w:r>
      <w:r w:rsidR="00AF1BD9">
        <w:rPr>
          <w:rFonts w:ascii="Book Antiqua" w:hAnsi="Book Antiqua"/>
          <w:sz w:val="24"/>
          <w:szCs w:val="24"/>
        </w:rPr>
        <w:t>re</w:t>
      </w:r>
      <w:r>
        <w:rPr>
          <w:rFonts w:ascii="Book Antiqua" w:hAnsi="Book Antiqua"/>
          <w:sz w:val="24"/>
          <w:szCs w:val="24"/>
        </w:rPr>
        <w:t xml:space="preserve">issued on </w:t>
      </w:r>
      <w:r w:rsidR="00D862DF">
        <w:rPr>
          <w:rFonts w:ascii="Book Antiqua" w:hAnsi="Book Antiqua"/>
          <w:sz w:val="24"/>
          <w:szCs w:val="24"/>
        </w:rPr>
        <w:t>21 December 2017</w:t>
      </w:r>
      <w:r w:rsidR="000E3931">
        <w:rPr>
          <w:rFonts w:ascii="Book Antiqua" w:hAnsi="Book Antiqua"/>
          <w:sz w:val="24"/>
          <w:szCs w:val="24"/>
        </w:rPr>
        <w:t xml:space="preserve">, </w:t>
      </w:r>
      <w:r>
        <w:rPr>
          <w:rFonts w:ascii="Book Antiqua" w:hAnsi="Book Antiqua"/>
          <w:sz w:val="24"/>
          <w:szCs w:val="24"/>
        </w:rPr>
        <w:t xml:space="preserve">commences on </w:t>
      </w:r>
      <w:r w:rsidR="00AF1BD9">
        <w:rPr>
          <w:rFonts w:ascii="Book Antiqua" w:hAnsi="Book Antiqua"/>
          <w:sz w:val="24"/>
          <w:szCs w:val="24"/>
        </w:rPr>
        <w:t>2 January 2018</w:t>
      </w:r>
      <w:r w:rsidRPr="00C97F30">
        <w:rPr>
          <w:rFonts w:ascii="Book Antiqua" w:hAnsi="Book Antiqua"/>
          <w:sz w:val="24"/>
          <w:szCs w:val="24"/>
        </w:rPr>
        <w:t xml:space="preserve"> and applies to all relevant RedCrest proceedings initiated on or after 1 August 2014</w:t>
      </w:r>
      <w:r>
        <w:rPr>
          <w:rFonts w:ascii="Book Antiqua" w:hAnsi="Book Antiqua"/>
          <w:sz w:val="24"/>
          <w:szCs w:val="24"/>
        </w:rPr>
        <w:t>.</w:t>
      </w:r>
    </w:p>
    <w:p w14:paraId="5B511A42" w14:textId="77777777" w:rsidR="00A74431" w:rsidRPr="007917BE" w:rsidRDefault="00A74431" w:rsidP="00CD0331">
      <w:pPr>
        <w:spacing w:before="120" w:after="120"/>
        <w:ind w:left="720" w:hanging="720"/>
        <w:jc w:val="both"/>
        <w:rPr>
          <w:rFonts w:ascii="Book Antiqua" w:hAnsi="Book Antiqua"/>
        </w:rPr>
      </w:pPr>
    </w:p>
    <w:p w14:paraId="7B25D934" w14:textId="77777777"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7B25D935"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In this Practice Note:</w:t>
      </w:r>
    </w:p>
    <w:p w14:paraId="7B25D936" w14:textId="77777777"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Commercial Court Practice Note</w:t>
      </w:r>
      <w:r w:rsidRPr="00C97F30">
        <w:rPr>
          <w:rFonts w:ascii="Book Antiqua" w:hAnsi="Book Antiqua"/>
          <w:sz w:val="24"/>
          <w:szCs w:val="24"/>
        </w:rPr>
        <w:t xml:space="preserve"> means Practice Note SC CC 1 – Commercial Court and any amendments thereto.</w:t>
      </w:r>
    </w:p>
    <w:p w14:paraId="7B25D937" w14:textId="77777777" w:rsidR="00C97F30" w:rsidRPr="008C4591" w:rsidRDefault="00C97F30" w:rsidP="00C60AFC">
      <w:pPr>
        <w:pStyle w:val="ListParagraph"/>
        <w:spacing w:before="120" w:after="120"/>
        <w:jc w:val="both"/>
        <w:rPr>
          <w:rFonts w:ascii="Book Antiqua" w:hAnsi="Book Antiqua"/>
          <w:sz w:val="24"/>
          <w:szCs w:val="24"/>
        </w:rPr>
      </w:pPr>
      <w:r w:rsidRPr="00C97F30">
        <w:rPr>
          <w:rFonts w:ascii="Book Antiqua" w:hAnsi="Book Antiqua"/>
          <w:b/>
          <w:i/>
          <w:sz w:val="24"/>
          <w:szCs w:val="24"/>
        </w:rPr>
        <w:t>How-To Guide</w:t>
      </w:r>
      <w:r w:rsidRPr="00C97F30">
        <w:rPr>
          <w:rFonts w:ascii="Book Antiqua" w:hAnsi="Book Antiqua"/>
          <w:sz w:val="24"/>
          <w:szCs w:val="24"/>
        </w:rPr>
        <w:t xml:space="preserve"> means the RedCrest How-to Guide for Practitioners</w:t>
      </w:r>
      <w:r w:rsidRPr="00C60AFC">
        <w:t xml:space="preserve"> </w:t>
      </w:r>
      <w:r w:rsidRPr="008C4591">
        <w:rPr>
          <w:rFonts w:ascii="Book Antiqua" w:hAnsi="Book Antiqua"/>
          <w:sz w:val="24"/>
          <w:szCs w:val="24"/>
        </w:rPr>
        <w:t xml:space="preserve">(maintained and updated by the </w:t>
      </w:r>
      <w:r w:rsidR="00C60AFC">
        <w:rPr>
          <w:rFonts w:ascii="Book Antiqua" w:hAnsi="Book Antiqua"/>
          <w:sz w:val="24"/>
          <w:szCs w:val="24"/>
        </w:rPr>
        <w:t>Commercial Court Registry</w:t>
      </w:r>
      <w:r w:rsidRPr="008C4591">
        <w:rPr>
          <w:rFonts w:ascii="Book Antiqua" w:hAnsi="Book Antiqua"/>
          <w:sz w:val="24"/>
          <w:szCs w:val="24"/>
        </w:rPr>
        <w:t xml:space="preserve"> and available for download from the RedCrest Homepage at</w:t>
      </w:r>
      <w:r w:rsidRPr="00C60AFC">
        <w:t xml:space="preserve"> </w:t>
      </w:r>
      <w:hyperlink r:id="rId16" w:history="1">
        <w:r w:rsidR="00883592" w:rsidRPr="00F877E8">
          <w:rPr>
            <w:rStyle w:val="Hyperlink"/>
            <w:rFonts w:ascii="Book Antiqua" w:hAnsi="Book Antiqua"/>
            <w:sz w:val="24"/>
            <w:szCs w:val="24"/>
          </w:rPr>
          <w:t>www.redcrest.com.au</w:t>
        </w:r>
      </w:hyperlink>
      <w:r w:rsidR="00883592" w:rsidRPr="00C60AFC">
        <w:t>)</w:t>
      </w:r>
      <w:r w:rsidRPr="00C60AFC">
        <w:t>.</w:t>
      </w:r>
    </w:p>
    <w:p w14:paraId="7B25D938" w14:textId="77777777"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List Judge</w:t>
      </w:r>
      <w:r w:rsidRPr="00C97F30">
        <w:rPr>
          <w:rFonts w:ascii="Book Antiqua" w:hAnsi="Book Antiqua"/>
          <w:sz w:val="24"/>
          <w:szCs w:val="24"/>
        </w:rPr>
        <w:t xml:space="preserve"> means a Commer</w:t>
      </w:r>
      <w:r w:rsidR="00883592">
        <w:rPr>
          <w:rFonts w:ascii="Book Antiqua" w:hAnsi="Book Antiqua"/>
          <w:sz w:val="24"/>
          <w:szCs w:val="24"/>
        </w:rPr>
        <w:t>cial Court Judge who manages a L</w:t>
      </w:r>
      <w:r w:rsidRPr="00C97F30">
        <w:rPr>
          <w:rFonts w:ascii="Book Antiqua" w:hAnsi="Book Antiqua"/>
          <w:sz w:val="24"/>
          <w:szCs w:val="24"/>
        </w:rPr>
        <w:t xml:space="preserve">ist </w:t>
      </w:r>
      <w:r w:rsidR="00F64FAA">
        <w:rPr>
          <w:rFonts w:ascii="Book Antiqua" w:hAnsi="Book Antiqua"/>
          <w:sz w:val="24"/>
          <w:szCs w:val="24"/>
        </w:rPr>
        <w:t>referred to</w:t>
      </w:r>
      <w:r w:rsidRPr="00C97F30">
        <w:rPr>
          <w:rFonts w:ascii="Book Antiqua" w:hAnsi="Book Antiqua"/>
          <w:sz w:val="24"/>
          <w:szCs w:val="24"/>
        </w:rPr>
        <w:t xml:space="preserve"> in paragraph 1.3.</w:t>
      </w:r>
    </w:p>
    <w:p w14:paraId="7B25D939" w14:textId="77777777"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RedCrest proceeding</w:t>
      </w:r>
      <w:r w:rsidRPr="00C97F30">
        <w:rPr>
          <w:rFonts w:ascii="Book Antiqua" w:hAnsi="Book Antiqua"/>
          <w:sz w:val="24"/>
          <w:szCs w:val="24"/>
        </w:rPr>
        <w:t xml:space="preserve"> me</w:t>
      </w:r>
      <w:r w:rsidR="00883592">
        <w:rPr>
          <w:rFonts w:ascii="Book Antiqua" w:hAnsi="Book Antiqua"/>
          <w:sz w:val="24"/>
          <w:szCs w:val="24"/>
        </w:rPr>
        <w:t>ans a proceeding in any of the Judge- managed L</w:t>
      </w:r>
      <w:r w:rsidRPr="00C97F30">
        <w:rPr>
          <w:rFonts w:ascii="Book Antiqua" w:hAnsi="Book Antiqua"/>
          <w:sz w:val="24"/>
          <w:szCs w:val="24"/>
        </w:rPr>
        <w:t xml:space="preserve">ists </w:t>
      </w:r>
      <w:r w:rsidR="00485544">
        <w:rPr>
          <w:rFonts w:ascii="Book Antiqua" w:hAnsi="Book Antiqua"/>
          <w:sz w:val="24"/>
          <w:szCs w:val="24"/>
        </w:rPr>
        <w:t>referred to in</w:t>
      </w:r>
      <w:r w:rsidRPr="00C97F30">
        <w:rPr>
          <w:rFonts w:ascii="Book Antiqua" w:hAnsi="Book Antiqua"/>
          <w:sz w:val="24"/>
          <w:szCs w:val="24"/>
        </w:rPr>
        <w:t xml:space="preserve"> paragraph 1.3 to which RedCrest applies.</w:t>
      </w:r>
    </w:p>
    <w:p w14:paraId="7B25D93A" w14:textId="2F3B90A2"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RedCrest Rules</w:t>
      </w:r>
      <w:r w:rsidRPr="00C97F30">
        <w:rPr>
          <w:rFonts w:ascii="Book Antiqua" w:hAnsi="Book Antiqua"/>
          <w:sz w:val="24"/>
          <w:szCs w:val="24"/>
        </w:rPr>
        <w:t xml:space="preserve"> means Order 28A</w:t>
      </w:r>
      <w:r w:rsidR="00490540">
        <w:rPr>
          <w:rFonts w:ascii="Book Antiqua" w:hAnsi="Book Antiqua"/>
          <w:sz w:val="24"/>
          <w:szCs w:val="24"/>
        </w:rPr>
        <w:t xml:space="preserve"> </w:t>
      </w:r>
      <w:r w:rsidRPr="00C97F30">
        <w:rPr>
          <w:rFonts w:ascii="Book Antiqua" w:hAnsi="Book Antiqua"/>
          <w:sz w:val="24"/>
          <w:szCs w:val="24"/>
        </w:rPr>
        <w:t xml:space="preserve">of the </w:t>
      </w:r>
      <w:r w:rsidRPr="00C97F30">
        <w:rPr>
          <w:rFonts w:ascii="Book Antiqua" w:hAnsi="Book Antiqua"/>
          <w:i/>
          <w:sz w:val="24"/>
          <w:szCs w:val="24"/>
        </w:rPr>
        <w:t xml:space="preserve">Supreme Court (General Civil Procedure) Rules </w:t>
      </w:r>
      <w:r w:rsidRPr="003D7CBC">
        <w:rPr>
          <w:rFonts w:ascii="Book Antiqua" w:hAnsi="Book Antiqua"/>
          <w:i/>
          <w:sz w:val="24"/>
          <w:szCs w:val="24"/>
        </w:rPr>
        <w:t>2015</w:t>
      </w:r>
      <w:r w:rsidR="00E54BCF">
        <w:rPr>
          <w:rFonts w:ascii="Book Antiqua" w:hAnsi="Book Antiqua"/>
          <w:sz w:val="24"/>
          <w:szCs w:val="24"/>
        </w:rPr>
        <w:t>,</w:t>
      </w:r>
      <w:r w:rsidR="00485544">
        <w:rPr>
          <w:rFonts w:ascii="Book Antiqua" w:hAnsi="Book Antiqua"/>
          <w:sz w:val="24"/>
          <w:szCs w:val="24"/>
        </w:rPr>
        <w:t xml:space="preserve"> </w:t>
      </w:r>
      <w:r w:rsidRPr="00C97F30">
        <w:rPr>
          <w:rFonts w:ascii="Book Antiqua" w:hAnsi="Book Antiqua"/>
          <w:sz w:val="24"/>
          <w:szCs w:val="24"/>
        </w:rPr>
        <w:t xml:space="preserve">and the </w:t>
      </w:r>
      <w:r w:rsidRPr="00C97F30">
        <w:rPr>
          <w:rFonts w:ascii="Book Antiqua" w:hAnsi="Book Antiqua"/>
          <w:i/>
          <w:sz w:val="24"/>
          <w:szCs w:val="24"/>
        </w:rPr>
        <w:t xml:space="preserve">Supreme Court (Corporations) Rules </w:t>
      </w:r>
      <w:r w:rsidRPr="00574DBA">
        <w:rPr>
          <w:rFonts w:ascii="Book Antiqua" w:hAnsi="Book Antiqua"/>
          <w:i/>
          <w:sz w:val="24"/>
          <w:szCs w:val="24"/>
        </w:rPr>
        <w:t>2013</w:t>
      </w:r>
      <w:r w:rsidR="00CF36EB">
        <w:rPr>
          <w:rFonts w:ascii="Book Antiqua" w:hAnsi="Book Antiqua"/>
          <w:sz w:val="24"/>
          <w:szCs w:val="24"/>
        </w:rPr>
        <w:t>.</w:t>
      </w:r>
    </w:p>
    <w:p w14:paraId="7B25D93B" w14:textId="77777777"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Registry</w:t>
      </w:r>
      <w:r w:rsidRPr="00C97F30">
        <w:rPr>
          <w:rFonts w:ascii="Book Antiqua" w:hAnsi="Book Antiqua"/>
          <w:sz w:val="24"/>
          <w:szCs w:val="24"/>
        </w:rPr>
        <w:t xml:space="preserve"> and </w:t>
      </w:r>
      <w:r w:rsidRPr="00C97F30">
        <w:rPr>
          <w:rFonts w:ascii="Book Antiqua" w:hAnsi="Book Antiqua"/>
          <w:b/>
          <w:i/>
          <w:sz w:val="24"/>
          <w:szCs w:val="24"/>
        </w:rPr>
        <w:t>Commercial Court Registry</w:t>
      </w:r>
      <w:r w:rsidRPr="00C97F30">
        <w:rPr>
          <w:rFonts w:ascii="Book Antiqua" w:hAnsi="Book Antiqua"/>
          <w:sz w:val="24"/>
          <w:szCs w:val="24"/>
        </w:rPr>
        <w:t xml:space="preserve"> mean the Commercial Court Registry situated on the Ground Floor, 450 Little Bourke Street, Melbourne 3000</w:t>
      </w:r>
      <w:r w:rsidR="00CF36EB">
        <w:rPr>
          <w:rFonts w:ascii="Book Antiqua" w:hAnsi="Book Antiqua"/>
          <w:sz w:val="24"/>
          <w:szCs w:val="24"/>
        </w:rPr>
        <w:t>.</w:t>
      </w:r>
    </w:p>
    <w:p w14:paraId="7B25D93C" w14:textId="77777777" w:rsidR="00C97F30" w:rsidRPr="00C97F30" w:rsidRDefault="00C97F30" w:rsidP="00C97F30">
      <w:pPr>
        <w:pStyle w:val="ListParagraph"/>
        <w:spacing w:before="120" w:after="120"/>
        <w:jc w:val="both"/>
        <w:rPr>
          <w:rFonts w:ascii="Book Antiqua" w:hAnsi="Book Antiqua"/>
          <w:sz w:val="24"/>
          <w:szCs w:val="24"/>
        </w:rPr>
      </w:pPr>
      <w:r w:rsidRPr="00C97F30">
        <w:rPr>
          <w:rFonts w:ascii="Book Antiqua" w:hAnsi="Book Antiqua"/>
          <w:b/>
          <w:i/>
          <w:sz w:val="24"/>
          <w:szCs w:val="24"/>
        </w:rPr>
        <w:t>Rules</w:t>
      </w:r>
      <w:r w:rsidRPr="00C97F30">
        <w:rPr>
          <w:rFonts w:ascii="Book Antiqua" w:hAnsi="Book Antiqua"/>
          <w:sz w:val="24"/>
          <w:szCs w:val="24"/>
        </w:rPr>
        <w:t xml:space="preserve"> means the </w:t>
      </w:r>
      <w:r w:rsidRPr="00C97F30">
        <w:rPr>
          <w:rFonts w:ascii="Book Antiqua" w:hAnsi="Book Antiqua"/>
          <w:i/>
          <w:sz w:val="24"/>
          <w:szCs w:val="24"/>
        </w:rPr>
        <w:t xml:space="preserve">Supreme Court (General Civil Procedure) Rules </w:t>
      </w:r>
      <w:r w:rsidRPr="00574DBA">
        <w:rPr>
          <w:rFonts w:ascii="Book Antiqua" w:hAnsi="Book Antiqua"/>
          <w:i/>
          <w:sz w:val="24"/>
          <w:szCs w:val="24"/>
        </w:rPr>
        <w:t>2015</w:t>
      </w:r>
      <w:r w:rsidRPr="00C97F30">
        <w:rPr>
          <w:rFonts w:ascii="Book Antiqua" w:hAnsi="Book Antiqua"/>
          <w:sz w:val="24"/>
          <w:szCs w:val="24"/>
        </w:rPr>
        <w:t>.</w:t>
      </w:r>
    </w:p>
    <w:p w14:paraId="7B25D93D" w14:textId="77777777" w:rsidR="00B72C47" w:rsidRPr="007917BE" w:rsidRDefault="00B72C47" w:rsidP="00CD0331">
      <w:pPr>
        <w:spacing w:before="120" w:after="120"/>
        <w:jc w:val="both"/>
        <w:rPr>
          <w:rFonts w:ascii="Book Antiqua" w:hAnsi="Book Antiqua"/>
        </w:rPr>
      </w:pPr>
    </w:p>
    <w:p w14:paraId="7B25D93E" w14:textId="77777777" w:rsidR="00C02583" w:rsidRPr="007917BE" w:rsidRDefault="00C97F30" w:rsidP="00C97F30">
      <w:pPr>
        <w:pStyle w:val="Heading1"/>
        <w:rPr>
          <w:rFonts w:ascii="Book Antiqua" w:hAnsi="Book Antiqua"/>
          <w:szCs w:val="24"/>
        </w:rPr>
      </w:pPr>
      <w:r w:rsidRPr="00C97F30">
        <w:rPr>
          <w:rFonts w:ascii="Book Antiqua" w:hAnsi="Book Antiqua"/>
          <w:szCs w:val="24"/>
        </w:rPr>
        <w:lastRenderedPageBreak/>
        <w:t>DOCUMENT HEADINGS</w:t>
      </w:r>
    </w:p>
    <w:p w14:paraId="7B25D93F"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The heading of all Commercial Court documents filed in RedCrest should conform with the example provided at Schedule 1.</w:t>
      </w:r>
    </w:p>
    <w:p w14:paraId="7B25D940"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For RedCrest matters, the Proceeding Number will commence with the prefix ‘S ECI’ meaning a Supreme Cou</w:t>
      </w:r>
      <w:r w:rsidR="004E591C">
        <w:rPr>
          <w:rFonts w:ascii="Book Antiqua" w:hAnsi="Book Antiqua"/>
          <w:sz w:val="24"/>
          <w:szCs w:val="24"/>
        </w:rPr>
        <w:t>rt Electronic Civil proceeding.</w:t>
      </w:r>
      <w:r w:rsidRPr="00C97F30">
        <w:rPr>
          <w:rFonts w:ascii="Book Antiqua" w:hAnsi="Book Antiqua"/>
          <w:sz w:val="24"/>
          <w:szCs w:val="24"/>
        </w:rPr>
        <w:t xml:space="preserve"> </w:t>
      </w:r>
    </w:p>
    <w:p w14:paraId="7B25D941" w14:textId="2705A6F6" w:rsidR="00C97F30" w:rsidRPr="00C97F30" w:rsidRDefault="00C97F30" w:rsidP="008C4591">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Where a non-Corporations proceeding is </w:t>
      </w:r>
      <w:r w:rsidR="00F64FAA">
        <w:rPr>
          <w:rFonts w:ascii="Book Antiqua" w:hAnsi="Book Antiqua"/>
          <w:sz w:val="24"/>
          <w:szCs w:val="24"/>
        </w:rPr>
        <w:t xml:space="preserve">intended to be </w:t>
      </w:r>
      <w:r w:rsidRPr="00C97F30">
        <w:rPr>
          <w:rFonts w:ascii="Book Antiqua" w:hAnsi="Book Antiqua"/>
          <w:sz w:val="24"/>
          <w:szCs w:val="24"/>
        </w:rPr>
        <w:t>entered in the Commercial Court, upon commencement, the Originating Proce</w:t>
      </w:r>
      <w:r w:rsidR="00883592">
        <w:rPr>
          <w:rFonts w:ascii="Book Antiqua" w:hAnsi="Book Antiqua"/>
          <w:sz w:val="24"/>
          <w:szCs w:val="24"/>
        </w:rPr>
        <w:t>ss must specify the particular L</w:t>
      </w:r>
      <w:r w:rsidRPr="00C97F30">
        <w:rPr>
          <w:rFonts w:ascii="Book Antiqua" w:hAnsi="Book Antiqua"/>
          <w:sz w:val="24"/>
          <w:szCs w:val="24"/>
        </w:rPr>
        <w:t xml:space="preserve">ist in which it is intended that the proceeding be </w:t>
      </w:r>
      <w:r w:rsidR="00F64FAA">
        <w:rPr>
          <w:rFonts w:ascii="Book Antiqua" w:hAnsi="Book Antiqua"/>
          <w:sz w:val="24"/>
          <w:szCs w:val="24"/>
        </w:rPr>
        <w:t>managed</w:t>
      </w:r>
      <w:r w:rsidR="00F64FAA" w:rsidRPr="00C97F30">
        <w:rPr>
          <w:rFonts w:ascii="Book Antiqua" w:hAnsi="Book Antiqua"/>
          <w:sz w:val="24"/>
          <w:szCs w:val="24"/>
        </w:rPr>
        <w:t xml:space="preserve"> </w:t>
      </w:r>
      <w:r w:rsidRPr="00C97F30">
        <w:rPr>
          <w:rFonts w:ascii="Book Antiqua" w:hAnsi="Book Antiqua"/>
          <w:sz w:val="24"/>
          <w:szCs w:val="24"/>
        </w:rPr>
        <w:t xml:space="preserve">(e.g: ‘Commercial </w:t>
      </w:r>
      <w:r w:rsidR="00662A41">
        <w:rPr>
          <w:rFonts w:ascii="Book Antiqua" w:hAnsi="Book Antiqua"/>
          <w:sz w:val="24"/>
          <w:szCs w:val="24"/>
        </w:rPr>
        <w:t>List</w:t>
      </w:r>
      <w:r w:rsidRPr="00C97F30">
        <w:rPr>
          <w:rFonts w:ascii="Book Antiqua" w:hAnsi="Book Antiqua"/>
          <w:sz w:val="24"/>
          <w:szCs w:val="24"/>
        </w:rPr>
        <w:t>’ for general commercial matters; ‘TEC List’ for Technology, Engineering and Construction matters; ‘</w:t>
      </w:r>
      <w:r w:rsidR="002A667E">
        <w:rPr>
          <w:rFonts w:ascii="Book Antiqua" w:hAnsi="Book Antiqua"/>
          <w:sz w:val="24"/>
          <w:szCs w:val="24"/>
        </w:rPr>
        <w:t>Intellectual Property</w:t>
      </w:r>
      <w:r w:rsidR="002A667E" w:rsidRPr="00C97F30">
        <w:rPr>
          <w:rFonts w:ascii="Book Antiqua" w:hAnsi="Book Antiqua"/>
          <w:sz w:val="24"/>
          <w:szCs w:val="24"/>
        </w:rPr>
        <w:t xml:space="preserve"> </w:t>
      </w:r>
      <w:r w:rsidRPr="00C97F30">
        <w:rPr>
          <w:rFonts w:ascii="Book Antiqua" w:hAnsi="Book Antiqua"/>
          <w:sz w:val="24"/>
          <w:szCs w:val="24"/>
        </w:rPr>
        <w:t>List’</w:t>
      </w:r>
      <w:r w:rsidR="00423827">
        <w:rPr>
          <w:rFonts w:ascii="Book Antiqua" w:hAnsi="Book Antiqua"/>
          <w:sz w:val="24"/>
          <w:szCs w:val="24"/>
        </w:rPr>
        <w:t>;</w:t>
      </w:r>
      <w:r w:rsidR="00071B69">
        <w:rPr>
          <w:rFonts w:ascii="Book Antiqua" w:hAnsi="Book Antiqua"/>
          <w:sz w:val="24"/>
          <w:szCs w:val="24"/>
        </w:rPr>
        <w:t xml:space="preserve"> ‘Insurance List’</w:t>
      </w:r>
      <w:r w:rsidR="006170C4">
        <w:rPr>
          <w:rFonts w:ascii="Book Antiqua" w:hAnsi="Book Antiqua"/>
          <w:sz w:val="24"/>
          <w:szCs w:val="24"/>
        </w:rPr>
        <w:t>; ‘Admiralty List’, ‘Arbitration List’; or ‘Taxation List’</w:t>
      </w:r>
      <w:r w:rsidRPr="00C97F30">
        <w:rPr>
          <w:rFonts w:ascii="Book Antiqua" w:hAnsi="Book Antiqua"/>
          <w:sz w:val="24"/>
          <w:szCs w:val="24"/>
        </w:rPr>
        <w:t xml:space="preserve">). </w:t>
      </w:r>
      <w:r w:rsidR="00883592">
        <w:rPr>
          <w:rFonts w:ascii="Book Antiqua" w:hAnsi="Book Antiqua"/>
          <w:sz w:val="24"/>
          <w:szCs w:val="24"/>
        </w:rPr>
        <w:t xml:space="preserve"> </w:t>
      </w:r>
    </w:p>
    <w:p w14:paraId="7B25D942" w14:textId="77777777" w:rsidR="00C97F30" w:rsidRPr="00C97F30" w:rsidRDefault="00AA4005" w:rsidP="00C97F30">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Form 2A must be u</w:t>
      </w:r>
      <w:r w:rsidR="00883592">
        <w:rPr>
          <w:rFonts w:ascii="Book Antiqua" w:hAnsi="Book Antiqua"/>
          <w:sz w:val="24"/>
          <w:szCs w:val="24"/>
        </w:rPr>
        <w:t xml:space="preserve">sed for </w:t>
      </w:r>
      <w:r w:rsidR="00C97F30" w:rsidRPr="00C97F30">
        <w:rPr>
          <w:rFonts w:ascii="Book Antiqua" w:hAnsi="Book Antiqua"/>
          <w:sz w:val="24"/>
          <w:szCs w:val="24"/>
        </w:rPr>
        <w:t>Corporations matters</w:t>
      </w:r>
      <w:r w:rsidR="00485544">
        <w:rPr>
          <w:rFonts w:ascii="Book Antiqua" w:hAnsi="Book Antiqua"/>
          <w:sz w:val="24"/>
          <w:szCs w:val="24"/>
        </w:rPr>
        <w:t xml:space="preserve"> intended to be Judge-managed</w:t>
      </w:r>
      <w:r w:rsidR="00C97F30" w:rsidRPr="00C97F30">
        <w:rPr>
          <w:rFonts w:ascii="Book Antiqua" w:hAnsi="Book Antiqua"/>
          <w:sz w:val="24"/>
          <w:szCs w:val="24"/>
        </w:rPr>
        <w:t>, which will include in the heading the list identifier ‘</w:t>
      </w:r>
      <w:r w:rsidR="00F64FAA">
        <w:rPr>
          <w:rFonts w:ascii="Book Antiqua" w:hAnsi="Book Antiqua"/>
          <w:sz w:val="24"/>
          <w:szCs w:val="24"/>
        </w:rPr>
        <w:t xml:space="preserve">RedCrest </w:t>
      </w:r>
      <w:r w:rsidR="00C97F30" w:rsidRPr="00C97F30">
        <w:rPr>
          <w:rFonts w:ascii="Book Antiqua" w:hAnsi="Book Antiqua"/>
          <w:sz w:val="24"/>
          <w:szCs w:val="24"/>
        </w:rPr>
        <w:t>Corporations List’.</w:t>
      </w:r>
    </w:p>
    <w:p w14:paraId="7B25D943" w14:textId="77777777" w:rsidR="006F60CF" w:rsidRPr="008C4591" w:rsidRDefault="00C97F30" w:rsidP="008C4591">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After commencement, all Court documents filed in the proceeding must bear the list identifier in the document heading in accordance with the example in Schedule 1. </w:t>
      </w:r>
    </w:p>
    <w:p w14:paraId="7B25D944" w14:textId="77777777" w:rsidR="00582DAF" w:rsidRPr="007917BE" w:rsidRDefault="00582DAF" w:rsidP="00CD0331">
      <w:pPr>
        <w:spacing w:before="120" w:after="120"/>
        <w:ind w:left="720" w:hanging="720"/>
        <w:jc w:val="both"/>
        <w:rPr>
          <w:rFonts w:ascii="Book Antiqua" w:hAnsi="Book Antiqua"/>
          <w:b/>
        </w:rPr>
      </w:pPr>
    </w:p>
    <w:p w14:paraId="7B25D945" w14:textId="77777777" w:rsidR="00BB44DE" w:rsidRPr="007917BE" w:rsidRDefault="00C97F30" w:rsidP="00CD0331">
      <w:pPr>
        <w:pStyle w:val="Heading1"/>
        <w:spacing w:before="120" w:after="120"/>
        <w:rPr>
          <w:rFonts w:ascii="Book Antiqua" w:hAnsi="Book Antiqua"/>
          <w:szCs w:val="24"/>
        </w:rPr>
      </w:pPr>
      <w:r>
        <w:rPr>
          <w:rFonts w:ascii="Book Antiqua" w:hAnsi="Book Antiqua"/>
          <w:szCs w:val="24"/>
        </w:rPr>
        <w:t>FORMS AND FILING IN REDCREST</w:t>
      </w:r>
    </w:p>
    <w:p w14:paraId="7B25D946" w14:textId="6F8123F2"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Proceedings initiated </w:t>
      </w:r>
      <w:r w:rsidR="00F64FAA">
        <w:rPr>
          <w:rFonts w:ascii="Book Antiqua" w:hAnsi="Book Antiqua"/>
          <w:sz w:val="24"/>
          <w:szCs w:val="24"/>
        </w:rPr>
        <w:t>i</w:t>
      </w:r>
      <w:r w:rsidRPr="00C97F30">
        <w:rPr>
          <w:rFonts w:ascii="Book Antiqua" w:hAnsi="Book Antiqua"/>
          <w:sz w:val="24"/>
          <w:szCs w:val="24"/>
        </w:rPr>
        <w:t xml:space="preserve">n RedCrest </w:t>
      </w:r>
      <w:r w:rsidR="002B44AB">
        <w:rPr>
          <w:rFonts w:ascii="Book Antiqua" w:hAnsi="Book Antiqua"/>
          <w:sz w:val="24"/>
          <w:szCs w:val="24"/>
        </w:rPr>
        <w:t>may</w:t>
      </w:r>
      <w:r w:rsidR="002B44AB" w:rsidRPr="00C97F30">
        <w:rPr>
          <w:rFonts w:ascii="Book Antiqua" w:hAnsi="Book Antiqua"/>
          <w:sz w:val="24"/>
          <w:szCs w:val="24"/>
        </w:rPr>
        <w:t xml:space="preserve"> </w:t>
      </w:r>
      <w:r w:rsidRPr="00C97F30">
        <w:rPr>
          <w:rFonts w:ascii="Book Antiqua" w:hAnsi="Book Antiqua"/>
          <w:sz w:val="24"/>
          <w:szCs w:val="24"/>
        </w:rPr>
        <w:t>be initiated using the ‘ORIGINATING PROCESS [REDCREST]’ form as prescribed by the Rules.</w:t>
      </w:r>
      <w:r w:rsidR="00883592">
        <w:rPr>
          <w:rFonts w:ascii="Book Antiqua" w:hAnsi="Book Antiqua"/>
          <w:sz w:val="24"/>
          <w:szCs w:val="24"/>
        </w:rPr>
        <w:t xml:space="preserve"> </w:t>
      </w:r>
      <w:r w:rsidRPr="00C97F30">
        <w:rPr>
          <w:rFonts w:ascii="Book Antiqua" w:hAnsi="Book Antiqua"/>
          <w:sz w:val="24"/>
          <w:szCs w:val="24"/>
        </w:rPr>
        <w:t xml:space="preserve"> Form 5F </w:t>
      </w:r>
      <w:r w:rsidR="000E3931">
        <w:rPr>
          <w:rFonts w:ascii="Book Antiqua" w:hAnsi="Book Antiqua"/>
          <w:sz w:val="24"/>
          <w:szCs w:val="24"/>
        </w:rPr>
        <w:t>is</w:t>
      </w:r>
      <w:r w:rsidRPr="00C97F30">
        <w:rPr>
          <w:rFonts w:ascii="Book Antiqua" w:hAnsi="Book Antiqua"/>
          <w:sz w:val="24"/>
          <w:szCs w:val="24"/>
        </w:rPr>
        <w:t xml:space="preserve"> for general usag</w:t>
      </w:r>
      <w:r w:rsidR="00883592">
        <w:rPr>
          <w:rFonts w:ascii="Book Antiqua" w:hAnsi="Book Antiqua"/>
          <w:sz w:val="24"/>
          <w:szCs w:val="24"/>
        </w:rPr>
        <w:t xml:space="preserve">e and Form 2A </w:t>
      </w:r>
      <w:r w:rsidR="000E3931">
        <w:rPr>
          <w:rFonts w:ascii="Book Antiqua" w:hAnsi="Book Antiqua"/>
          <w:sz w:val="24"/>
          <w:szCs w:val="24"/>
        </w:rPr>
        <w:t>is</w:t>
      </w:r>
      <w:r w:rsidR="00883592">
        <w:rPr>
          <w:rFonts w:ascii="Book Antiqua" w:hAnsi="Book Antiqua"/>
          <w:sz w:val="24"/>
          <w:szCs w:val="24"/>
        </w:rPr>
        <w:t xml:space="preserve"> used for J</w:t>
      </w:r>
      <w:r w:rsidRPr="00C97F30">
        <w:rPr>
          <w:rFonts w:ascii="Book Antiqua" w:hAnsi="Book Antiqua"/>
          <w:sz w:val="24"/>
          <w:szCs w:val="24"/>
        </w:rPr>
        <w:t>udge-managed Corporations matters</w:t>
      </w:r>
      <w:r w:rsidR="00D00AF7">
        <w:rPr>
          <w:rFonts w:ascii="Book Antiqua" w:hAnsi="Book Antiqua"/>
          <w:sz w:val="24"/>
          <w:szCs w:val="24"/>
        </w:rPr>
        <w:t>.</w:t>
      </w:r>
      <w:r w:rsidR="00DB2792">
        <w:rPr>
          <w:rFonts w:ascii="Book Antiqua" w:hAnsi="Book Antiqua"/>
          <w:sz w:val="24"/>
          <w:szCs w:val="24"/>
        </w:rPr>
        <w:t xml:space="preserve">  </w:t>
      </w:r>
      <w:r w:rsidR="002B44AB">
        <w:rPr>
          <w:rFonts w:ascii="Book Antiqua" w:hAnsi="Book Antiqua"/>
          <w:sz w:val="24"/>
          <w:szCs w:val="24"/>
        </w:rPr>
        <w:t>Proceedings may also be initiated using other forms prescribed by the Rules (e.g Forms 5A – 5D).</w:t>
      </w:r>
    </w:p>
    <w:p w14:paraId="7B25D947"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An Originating Process which includes a statement of claim will, for the purposes of the Rules, be deemed to be a writ, and one which merely claims the relief sought will be deemed to be an originating motion. </w:t>
      </w:r>
    </w:p>
    <w:p w14:paraId="7B25D948" w14:textId="77777777" w:rsidR="00DC24A7"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lastRenderedPageBreak/>
        <w:t xml:space="preserve">The </w:t>
      </w:r>
      <w:r w:rsidR="003206EC">
        <w:rPr>
          <w:rFonts w:ascii="Book Antiqua" w:hAnsi="Book Antiqua"/>
          <w:sz w:val="24"/>
          <w:szCs w:val="24"/>
        </w:rPr>
        <w:t xml:space="preserve">following </w:t>
      </w:r>
      <w:r w:rsidRPr="00C97F30">
        <w:rPr>
          <w:rFonts w:ascii="Book Antiqua" w:hAnsi="Book Antiqua"/>
          <w:sz w:val="24"/>
          <w:szCs w:val="24"/>
        </w:rPr>
        <w:t>information</w:t>
      </w:r>
      <w:r w:rsidR="003206EC">
        <w:rPr>
          <w:rFonts w:ascii="Book Antiqua" w:hAnsi="Book Antiqua"/>
          <w:sz w:val="24"/>
          <w:szCs w:val="24"/>
        </w:rPr>
        <w:t xml:space="preserve"> should</w:t>
      </w:r>
      <w:r w:rsidRPr="00C97F30">
        <w:rPr>
          <w:rFonts w:ascii="Book Antiqua" w:hAnsi="Book Antiqua"/>
          <w:sz w:val="24"/>
          <w:szCs w:val="24"/>
        </w:rPr>
        <w:t xml:space="preserve"> be supplied</w:t>
      </w:r>
      <w:r w:rsidR="003206EC">
        <w:rPr>
          <w:rFonts w:ascii="Book Antiqua" w:hAnsi="Book Antiqua"/>
          <w:sz w:val="24"/>
          <w:szCs w:val="24"/>
        </w:rPr>
        <w:t xml:space="preserve"> at the time of filing the Originating Process</w:t>
      </w:r>
      <w:r w:rsidRPr="00C97F30">
        <w:rPr>
          <w:rFonts w:ascii="Book Antiqua" w:hAnsi="Book Antiqua"/>
          <w:sz w:val="24"/>
          <w:szCs w:val="24"/>
        </w:rPr>
        <w:t>:</w:t>
      </w:r>
    </w:p>
    <w:p w14:paraId="7B25D949"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Nomination of the Case Manager appointed by the filing party;</w:t>
      </w:r>
    </w:p>
    <w:p w14:paraId="7B25D94A"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A short statement describing the subject matter of the claim. </w:t>
      </w:r>
      <w:r w:rsidR="00883592">
        <w:rPr>
          <w:rFonts w:ascii="Book Antiqua" w:hAnsi="Book Antiqua"/>
          <w:sz w:val="24"/>
          <w:szCs w:val="24"/>
        </w:rPr>
        <w:t xml:space="preserve"> </w:t>
      </w:r>
      <w:r w:rsidR="00D52D19">
        <w:rPr>
          <w:rFonts w:ascii="Book Antiqua" w:hAnsi="Book Antiqua"/>
          <w:sz w:val="24"/>
          <w:szCs w:val="24"/>
        </w:rPr>
        <w:t xml:space="preserve">This should be inserted in the </w:t>
      </w:r>
      <w:r w:rsidR="009461D3">
        <w:rPr>
          <w:rFonts w:ascii="Book Antiqua" w:hAnsi="Book Antiqua"/>
          <w:sz w:val="24"/>
          <w:szCs w:val="24"/>
        </w:rPr>
        <w:t>‘</w:t>
      </w:r>
      <w:r w:rsidR="00D52D19">
        <w:rPr>
          <w:rFonts w:ascii="Book Antiqua" w:hAnsi="Book Antiqua"/>
          <w:sz w:val="24"/>
          <w:szCs w:val="24"/>
        </w:rPr>
        <w:t>Filing Note</w:t>
      </w:r>
      <w:r w:rsidR="009461D3">
        <w:rPr>
          <w:rFonts w:ascii="Book Antiqua" w:hAnsi="Book Antiqua"/>
          <w:sz w:val="24"/>
          <w:szCs w:val="24"/>
        </w:rPr>
        <w:t>’</w:t>
      </w:r>
      <w:r w:rsidR="00D52D19">
        <w:rPr>
          <w:rFonts w:ascii="Book Antiqua" w:hAnsi="Book Antiqua"/>
          <w:sz w:val="24"/>
          <w:szCs w:val="24"/>
        </w:rPr>
        <w:t xml:space="preserve"> field in RedCrest </w:t>
      </w:r>
      <w:r w:rsidRPr="00C97F30">
        <w:rPr>
          <w:rFonts w:ascii="Book Antiqua" w:hAnsi="Book Antiqua"/>
          <w:sz w:val="24"/>
          <w:szCs w:val="24"/>
        </w:rPr>
        <w:t>upon filing the Originating Process;</w:t>
      </w:r>
    </w:p>
    <w:p w14:paraId="7B25D94B"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The Certifications required by the</w:t>
      </w:r>
      <w:r w:rsidRPr="008C4591">
        <w:rPr>
          <w:rFonts w:ascii="Book Antiqua" w:hAnsi="Book Antiqua"/>
          <w:i/>
          <w:sz w:val="24"/>
          <w:szCs w:val="24"/>
        </w:rPr>
        <w:t xml:space="preserve"> Civil Procedure Act </w:t>
      </w:r>
      <w:r w:rsidRPr="0043033C">
        <w:rPr>
          <w:rFonts w:ascii="Book Antiqua" w:hAnsi="Book Antiqua"/>
          <w:i/>
          <w:sz w:val="24"/>
          <w:szCs w:val="24"/>
        </w:rPr>
        <w:t>2010</w:t>
      </w:r>
      <w:r w:rsidRPr="00C97F30">
        <w:rPr>
          <w:rFonts w:ascii="Book Antiqua" w:hAnsi="Book Antiqua"/>
          <w:sz w:val="24"/>
          <w:szCs w:val="24"/>
        </w:rPr>
        <w:t xml:space="preserve">; </w:t>
      </w:r>
    </w:p>
    <w:p w14:paraId="7B25D94C" w14:textId="77777777" w:rsidR="00D52D19"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Trial estimate. </w:t>
      </w:r>
      <w:r w:rsidR="00883592">
        <w:rPr>
          <w:rFonts w:ascii="Book Antiqua" w:hAnsi="Book Antiqua"/>
          <w:sz w:val="24"/>
          <w:szCs w:val="24"/>
        </w:rPr>
        <w:t xml:space="preserve"> </w:t>
      </w:r>
      <w:r w:rsidR="00D52D19">
        <w:rPr>
          <w:rFonts w:ascii="Book Antiqua" w:hAnsi="Book Antiqua"/>
          <w:sz w:val="24"/>
          <w:szCs w:val="24"/>
        </w:rPr>
        <w:t xml:space="preserve">This should also be inserted in the </w:t>
      </w:r>
      <w:r w:rsidR="009461D3">
        <w:rPr>
          <w:rFonts w:ascii="Book Antiqua" w:hAnsi="Book Antiqua"/>
          <w:sz w:val="24"/>
          <w:szCs w:val="24"/>
        </w:rPr>
        <w:t>‘</w:t>
      </w:r>
      <w:r w:rsidR="00D52D19">
        <w:rPr>
          <w:rFonts w:ascii="Book Antiqua" w:hAnsi="Book Antiqua"/>
          <w:sz w:val="24"/>
          <w:szCs w:val="24"/>
        </w:rPr>
        <w:t>Filing Note</w:t>
      </w:r>
      <w:r w:rsidR="009461D3">
        <w:rPr>
          <w:rFonts w:ascii="Book Antiqua" w:hAnsi="Book Antiqua"/>
          <w:sz w:val="24"/>
          <w:szCs w:val="24"/>
        </w:rPr>
        <w:t>’</w:t>
      </w:r>
      <w:r w:rsidR="00D52D19">
        <w:rPr>
          <w:rFonts w:ascii="Book Antiqua" w:hAnsi="Book Antiqua"/>
          <w:sz w:val="24"/>
          <w:szCs w:val="24"/>
        </w:rPr>
        <w:t xml:space="preserve"> field in RedCrest </w:t>
      </w:r>
      <w:r w:rsidRPr="00C97F30">
        <w:rPr>
          <w:rFonts w:ascii="Book Antiqua" w:hAnsi="Book Antiqua"/>
          <w:sz w:val="24"/>
          <w:szCs w:val="24"/>
        </w:rPr>
        <w:t>upon filing the Originating Process</w:t>
      </w:r>
      <w:r w:rsidR="00D52D19">
        <w:rPr>
          <w:rFonts w:ascii="Book Antiqua" w:hAnsi="Book Antiqua"/>
          <w:sz w:val="24"/>
          <w:szCs w:val="24"/>
        </w:rPr>
        <w:t>; and</w:t>
      </w:r>
    </w:p>
    <w:p w14:paraId="7B25D94D" w14:textId="77777777" w:rsidR="00C97F30" w:rsidRPr="008C4591" w:rsidRDefault="00D52D19">
      <w:pPr>
        <w:pStyle w:val="ListParagraph"/>
        <w:numPr>
          <w:ilvl w:val="2"/>
          <w:numId w:val="24"/>
        </w:numPr>
        <w:spacing w:before="120" w:after="120"/>
        <w:ind w:left="1440"/>
        <w:jc w:val="both"/>
        <w:rPr>
          <w:rFonts w:ascii="Book Antiqua" w:hAnsi="Book Antiqua"/>
          <w:sz w:val="24"/>
          <w:szCs w:val="24"/>
        </w:rPr>
      </w:pPr>
      <w:r>
        <w:rPr>
          <w:rFonts w:ascii="Book Antiqua" w:hAnsi="Book Antiqua"/>
          <w:sz w:val="24"/>
          <w:szCs w:val="24"/>
        </w:rPr>
        <w:t xml:space="preserve">Any other information relevant to the </w:t>
      </w:r>
      <w:r w:rsidR="00C87DF0">
        <w:rPr>
          <w:rFonts w:ascii="Book Antiqua" w:hAnsi="Book Antiqua"/>
          <w:sz w:val="24"/>
          <w:szCs w:val="24"/>
        </w:rPr>
        <w:t xml:space="preserve">matter, including whether the matter is urgent or is related to other proceedings in the Court, should be inserted in the </w:t>
      </w:r>
      <w:r w:rsidR="009461D3">
        <w:rPr>
          <w:rFonts w:ascii="Book Antiqua" w:hAnsi="Book Antiqua"/>
          <w:sz w:val="24"/>
          <w:szCs w:val="24"/>
        </w:rPr>
        <w:t>‘</w:t>
      </w:r>
      <w:r w:rsidR="00C87DF0" w:rsidRPr="008C4591">
        <w:rPr>
          <w:rFonts w:ascii="Book Antiqua" w:hAnsi="Book Antiqua"/>
          <w:sz w:val="24"/>
          <w:szCs w:val="24"/>
        </w:rPr>
        <w:t>Filing Note</w:t>
      </w:r>
      <w:r w:rsidR="009461D3" w:rsidRPr="008C4591">
        <w:rPr>
          <w:rFonts w:ascii="Book Antiqua" w:hAnsi="Book Antiqua"/>
          <w:sz w:val="24"/>
          <w:szCs w:val="24"/>
        </w:rPr>
        <w:t>’</w:t>
      </w:r>
      <w:r w:rsidR="00C87DF0" w:rsidRPr="008C4591">
        <w:rPr>
          <w:rFonts w:ascii="Book Antiqua" w:hAnsi="Book Antiqua"/>
          <w:sz w:val="24"/>
          <w:szCs w:val="24"/>
        </w:rPr>
        <w:t xml:space="preserve"> field in RedCrest upon</w:t>
      </w:r>
      <w:r w:rsidR="001064EA">
        <w:rPr>
          <w:rFonts w:ascii="Book Antiqua" w:hAnsi="Book Antiqua"/>
          <w:sz w:val="24"/>
          <w:szCs w:val="24"/>
        </w:rPr>
        <w:t xml:space="preserve"> filing the Originating Process. </w:t>
      </w:r>
    </w:p>
    <w:p w14:paraId="7B25D94E" w14:textId="77777777" w:rsidR="00C97F30" w:rsidRPr="00C97F30" w:rsidRDefault="00C97F30" w:rsidP="008C4591">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Upon the filing of the Originating Process</w:t>
      </w:r>
      <w:r w:rsidR="00C87DF0">
        <w:rPr>
          <w:rFonts w:ascii="Book Antiqua" w:hAnsi="Book Antiqua"/>
          <w:sz w:val="24"/>
          <w:szCs w:val="24"/>
        </w:rPr>
        <w:t xml:space="preserve">, payment of the prescribed fee and </w:t>
      </w:r>
      <w:r w:rsidR="0072196D">
        <w:rPr>
          <w:rFonts w:ascii="Book Antiqua" w:hAnsi="Book Antiqua"/>
          <w:sz w:val="24"/>
          <w:szCs w:val="24"/>
        </w:rPr>
        <w:t xml:space="preserve">confirmation </w:t>
      </w:r>
      <w:r w:rsidR="00C87DF0">
        <w:rPr>
          <w:rFonts w:ascii="Book Antiqua" w:hAnsi="Book Antiqua"/>
          <w:sz w:val="24"/>
          <w:szCs w:val="24"/>
        </w:rPr>
        <w:t>of the filing by the Commercial Court Registry</w:t>
      </w:r>
      <w:r w:rsidR="003206EC">
        <w:rPr>
          <w:rFonts w:ascii="Book Antiqua" w:hAnsi="Book Antiqua"/>
          <w:sz w:val="24"/>
          <w:szCs w:val="24"/>
        </w:rPr>
        <w:t>,</w:t>
      </w:r>
      <w:r w:rsidR="00D31ED0">
        <w:rPr>
          <w:rFonts w:ascii="Book Antiqua" w:hAnsi="Book Antiqua"/>
          <w:sz w:val="24"/>
          <w:szCs w:val="24"/>
        </w:rPr>
        <w:t xml:space="preserve"> </w:t>
      </w:r>
      <w:r w:rsidRPr="00C97F30">
        <w:rPr>
          <w:rFonts w:ascii="Book Antiqua" w:hAnsi="Book Antiqua"/>
          <w:sz w:val="24"/>
          <w:szCs w:val="24"/>
        </w:rPr>
        <w:t xml:space="preserve">RedCrest will complete the following steps: </w:t>
      </w:r>
    </w:p>
    <w:p w14:paraId="7B25D94F"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Insert a new Supreme Court Electronic Civil proceeding case number for the Originating Process;</w:t>
      </w:r>
    </w:p>
    <w:p w14:paraId="7B25D950"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Seal the Originating Process with the Court seal; </w:t>
      </w:r>
    </w:p>
    <w:p w14:paraId="7B25D951" w14:textId="77777777" w:rsidR="00C97F30" w:rsidRPr="00C97F30" w:rsidRDefault="00C97F30" w:rsidP="00386D74">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 xml:space="preserve">Insert the date of filing; </w:t>
      </w:r>
    </w:p>
    <w:p w14:paraId="7B25D952" w14:textId="77777777" w:rsidR="00C97F30" w:rsidRPr="008C4591" w:rsidRDefault="00C97F30" w:rsidP="00C87DF0">
      <w:pPr>
        <w:pStyle w:val="ListParagraph"/>
        <w:numPr>
          <w:ilvl w:val="2"/>
          <w:numId w:val="24"/>
        </w:numPr>
        <w:spacing w:before="120" w:after="120"/>
        <w:ind w:left="1440"/>
        <w:jc w:val="both"/>
        <w:rPr>
          <w:rFonts w:ascii="Book Antiqua" w:hAnsi="Book Antiqua"/>
          <w:sz w:val="24"/>
          <w:szCs w:val="24"/>
        </w:rPr>
      </w:pPr>
      <w:r w:rsidRPr="00C97F30">
        <w:rPr>
          <w:rFonts w:ascii="Book Antiqua" w:hAnsi="Book Antiqua"/>
          <w:sz w:val="24"/>
          <w:szCs w:val="24"/>
        </w:rPr>
        <w:t>Open a new case page for the proceeding using information derived from the Originating Process</w:t>
      </w:r>
      <w:r w:rsidRPr="008C4591">
        <w:rPr>
          <w:rFonts w:ascii="Book Antiqua" w:hAnsi="Book Antiqua"/>
          <w:sz w:val="24"/>
          <w:szCs w:val="24"/>
        </w:rPr>
        <w:t xml:space="preserve">; </w:t>
      </w:r>
    </w:p>
    <w:p w14:paraId="7B25D953" w14:textId="77777777" w:rsidR="00D11720" w:rsidRPr="00C97F30" w:rsidRDefault="00254921" w:rsidP="00386D74">
      <w:pPr>
        <w:pStyle w:val="ListParagraph"/>
        <w:numPr>
          <w:ilvl w:val="2"/>
          <w:numId w:val="24"/>
        </w:numPr>
        <w:spacing w:before="120" w:after="120"/>
        <w:ind w:left="1440"/>
        <w:jc w:val="both"/>
        <w:rPr>
          <w:rFonts w:ascii="Book Antiqua" w:hAnsi="Book Antiqua"/>
          <w:sz w:val="24"/>
          <w:szCs w:val="24"/>
        </w:rPr>
      </w:pPr>
      <w:r>
        <w:rPr>
          <w:rFonts w:ascii="Book Antiqua" w:hAnsi="Book Antiqua"/>
          <w:sz w:val="24"/>
          <w:szCs w:val="24"/>
        </w:rPr>
        <w:t>Include</w:t>
      </w:r>
      <w:r w:rsidR="00590203">
        <w:rPr>
          <w:rFonts w:ascii="Book Antiqua" w:hAnsi="Book Antiqua"/>
          <w:sz w:val="24"/>
          <w:szCs w:val="24"/>
        </w:rPr>
        <w:t xml:space="preserve"> </w:t>
      </w:r>
      <w:r w:rsidR="00C97F30" w:rsidRPr="00C97F30">
        <w:rPr>
          <w:rFonts w:ascii="Book Antiqua" w:hAnsi="Book Antiqua"/>
          <w:sz w:val="24"/>
          <w:szCs w:val="24"/>
        </w:rPr>
        <w:t xml:space="preserve">the completed Originating Process in the new case page; and </w:t>
      </w:r>
    </w:p>
    <w:p w14:paraId="7B25D954" w14:textId="77777777" w:rsidR="00D11720" w:rsidRPr="008C4591" w:rsidRDefault="00C87DF0">
      <w:pPr>
        <w:pStyle w:val="ListParagraph"/>
        <w:numPr>
          <w:ilvl w:val="2"/>
          <w:numId w:val="24"/>
        </w:numPr>
        <w:spacing w:before="120" w:after="120"/>
        <w:ind w:left="1440"/>
        <w:jc w:val="both"/>
        <w:rPr>
          <w:rFonts w:ascii="Book Antiqua" w:hAnsi="Book Antiqua"/>
          <w:sz w:val="24"/>
          <w:szCs w:val="24"/>
        </w:rPr>
      </w:pPr>
      <w:r w:rsidRPr="008C4591">
        <w:rPr>
          <w:rFonts w:ascii="Book Antiqua" w:hAnsi="Book Antiqua"/>
          <w:sz w:val="24"/>
          <w:szCs w:val="24"/>
        </w:rPr>
        <w:t>Generate an email notification conf</w:t>
      </w:r>
      <w:r w:rsidR="00D11720" w:rsidRPr="00786E58">
        <w:rPr>
          <w:rFonts w:ascii="Book Antiqua" w:hAnsi="Book Antiqua"/>
          <w:sz w:val="24"/>
          <w:szCs w:val="24"/>
        </w:rPr>
        <w:t>irming the filing</w:t>
      </w:r>
      <w:r w:rsidR="00C97F30" w:rsidRPr="008C4591">
        <w:rPr>
          <w:rFonts w:ascii="Book Antiqua" w:hAnsi="Book Antiqua"/>
          <w:sz w:val="24"/>
          <w:szCs w:val="24"/>
        </w:rPr>
        <w:t xml:space="preserve">. </w:t>
      </w:r>
      <w:r w:rsidR="00883592" w:rsidRPr="008C4591">
        <w:rPr>
          <w:rFonts w:ascii="Book Antiqua" w:hAnsi="Book Antiqua"/>
          <w:sz w:val="24"/>
          <w:szCs w:val="24"/>
        </w:rPr>
        <w:t xml:space="preserve"> </w:t>
      </w:r>
      <w:r w:rsidR="00C97F30" w:rsidRPr="008C4591">
        <w:rPr>
          <w:rFonts w:ascii="Book Antiqua" w:hAnsi="Book Antiqua"/>
          <w:sz w:val="24"/>
          <w:szCs w:val="24"/>
        </w:rPr>
        <w:t>This will enable the filing party to access the new case page and print out the completed filed and sealed Originating Process and arrange for its service in the usual way in accordance with the Rules</w:t>
      </w:r>
      <w:r w:rsidRPr="008C4591">
        <w:rPr>
          <w:rFonts w:ascii="Book Antiqua" w:hAnsi="Book Antiqua"/>
          <w:sz w:val="24"/>
          <w:szCs w:val="24"/>
        </w:rPr>
        <w:t xml:space="preserve">. </w:t>
      </w:r>
    </w:p>
    <w:p w14:paraId="7B25D955"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An Appearance to be filed in RedCrest is to be in the Form 8AB (for general use), Form 8AC (for a Conditional Appearance) and Form 4A (for Corporations matters). </w:t>
      </w:r>
    </w:p>
    <w:p w14:paraId="7B25D956" w14:textId="77777777" w:rsidR="00C97F30" w:rsidRPr="00C97F30" w:rsidRDefault="00C97F30" w:rsidP="00C97F30">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t xml:space="preserve">A Third Party Notice filed in RedCrest must be filed </w:t>
      </w:r>
      <w:r w:rsidR="00D11720">
        <w:rPr>
          <w:rFonts w:ascii="Book Antiqua" w:hAnsi="Book Antiqua"/>
          <w:sz w:val="24"/>
          <w:szCs w:val="24"/>
        </w:rPr>
        <w:t xml:space="preserve">in the </w:t>
      </w:r>
      <w:r w:rsidRPr="00C97F30">
        <w:rPr>
          <w:rFonts w:ascii="Book Antiqua" w:hAnsi="Book Antiqua"/>
          <w:sz w:val="24"/>
          <w:szCs w:val="24"/>
        </w:rPr>
        <w:t xml:space="preserve">Form 11C, under the RedCrest Rules. </w:t>
      </w:r>
      <w:r w:rsidR="00883592">
        <w:rPr>
          <w:rFonts w:ascii="Book Antiqua" w:hAnsi="Book Antiqua"/>
          <w:sz w:val="24"/>
          <w:szCs w:val="24"/>
        </w:rPr>
        <w:t xml:space="preserve"> </w:t>
      </w:r>
    </w:p>
    <w:p w14:paraId="7B25D957" w14:textId="77777777" w:rsidR="006879D4" w:rsidRDefault="00C97F30" w:rsidP="008C4591">
      <w:pPr>
        <w:pStyle w:val="ListParagraph"/>
        <w:numPr>
          <w:ilvl w:val="1"/>
          <w:numId w:val="24"/>
        </w:numPr>
        <w:spacing w:before="120" w:after="120"/>
        <w:ind w:left="720" w:hanging="720"/>
        <w:jc w:val="both"/>
        <w:rPr>
          <w:rFonts w:ascii="Book Antiqua" w:hAnsi="Book Antiqua"/>
          <w:sz w:val="24"/>
          <w:szCs w:val="24"/>
        </w:rPr>
      </w:pPr>
      <w:r w:rsidRPr="00C97F30">
        <w:rPr>
          <w:rFonts w:ascii="Book Antiqua" w:hAnsi="Book Antiqua"/>
          <w:sz w:val="24"/>
          <w:szCs w:val="24"/>
        </w:rPr>
        <w:lastRenderedPageBreak/>
        <w:t>All other documents are to be prepared in accordance with the Rules (with the heading for Commercial Court documen</w:t>
      </w:r>
      <w:r w:rsidR="00C25E3E">
        <w:rPr>
          <w:rFonts w:ascii="Book Antiqua" w:hAnsi="Book Antiqua"/>
          <w:sz w:val="24"/>
          <w:szCs w:val="24"/>
        </w:rPr>
        <w:t>ts as in Schedule 1) and filed i</w:t>
      </w:r>
      <w:r w:rsidRPr="00C97F30">
        <w:rPr>
          <w:rFonts w:ascii="Book Antiqua" w:hAnsi="Book Antiqua"/>
          <w:sz w:val="24"/>
          <w:szCs w:val="24"/>
        </w:rPr>
        <w:t>n RedCrest, following the instructions contained in the RedCrest How-To Guide.</w:t>
      </w:r>
    </w:p>
    <w:p w14:paraId="7B25D958" w14:textId="77777777" w:rsidR="00C75307" w:rsidRPr="00C75307" w:rsidRDefault="00C75307" w:rsidP="00C75307">
      <w:pPr>
        <w:spacing w:before="120" w:after="120"/>
        <w:jc w:val="both"/>
        <w:rPr>
          <w:rFonts w:ascii="Book Antiqua" w:hAnsi="Book Antiqua"/>
        </w:rPr>
      </w:pPr>
    </w:p>
    <w:p w14:paraId="7B25D959" w14:textId="77777777" w:rsidR="00386D74" w:rsidRPr="007917BE" w:rsidRDefault="00386D74" w:rsidP="00386D74">
      <w:pPr>
        <w:pStyle w:val="Heading1"/>
        <w:spacing w:before="120" w:after="120"/>
        <w:rPr>
          <w:rFonts w:ascii="Book Antiqua" w:hAnsi="Book Antiqua"/>
          <w:szCs w:val="24"/>
        </w:rPr>
      </w:pPr>
      <w:r>
        <w:rPr>
          <w:rFonts w:ascii="Book Antiqua" w:hAnsi="Book Antiqua"/>
          <w:szCs w:val="24"/>
        </w:rPr>
        <w:t>ROLE OF CASE MANAGER</w:t>
      </w:r>
    </w:p>
    <w:p w14:paraId="6E937803" w14:textId="4C0E2270" w:rsidR="00527FF5" w:rsidRPr="008C21D8" w:rsidRDefault="00386D74" w:rsidP="008C21D8">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Each party to a proceeding is to appoint a Case Manager to manage that party’s engagement with RedCrest. </w:t>
      </w:r>
      <w:r w:rsidR="007A607A">
        <w:rPr>
          <w:rFonts w:ascii="Book Antiqua" w:hAnsi="Book Antiqua"/>
          <w:sz w:val="24"/>
          <w:szCs w:val="24"/>
        </w:rPr>
        <w:t xml:space="preserve"> </w:t>
      </w:r>
      <w:r w:rsidRPr="008C21D8">
        <w:rPr>
          <w:rFonts w:ascii="Book Antiqua" w:hAnsi="Book Antiqua"/>
          <w:sz w:val="24"/>
          <w:szCs w:val="24"/>
        </w:rPr>
        <w:t xml:space="preserve">The person who </w:t>
      </w:r>
      <w:r w:rsidR="007A607A" w:rsidRPr="008C21D8">
        <w:rPr>
          <w:rFonts w:ascii="Book Antiqua" w:hAnsi="Book Antiqua"/>
          <w:sz w:val="24"/>
          <w:szCs w:val="24"/>
        </w:rPr>
        <w:t xml:space="preserve">is nominated as the Case Manager in </w:t>
      </w:r>
      <w:r w:rsidRPr="008C21D8">
        <w:rPr>
          <w:rFonts w:ascii="Book Antiqua" w:hAnsi="Book Antiqua"/>
          <w:sz w:val="24"/>
          <w:szCs w:val="24"/>
        </w:rPr>
        <w:t>the Originating Process</w:t>
      </w:r>
      <w:r w:rsidR="007A607A" w:rsidRPr="008C21D8">
        <w:rPr>
          <w:rFonts w:ascii="Book Antiqua" w:hAnsi="Book Antiqua"/>
          <w:sz w:val="24"/>
          <w:szCs w:val="24"/>
        </w:rPr>
        <w:t xml:space="preserve">, </w:t>
      </w:r>
      <w:r w:rsidRPr="008C21D8">
        <w:rPr>
          <w:rFonts w:ascii="Book Antiqua" w:hAnsi="Book Antiqua"/>
          <w:sz w:val="24"/>
          <w:szCs w:val="24"/>
        </w:rPr>
        <w:t>No</w:t>
      </w:r>
      <w:r w:rsidR="007F463A" w:rsidRPr="008C21D8">
        <w:rPr>
          <w:rFonts w:ascii="Book Antiqua" w:hAnsi="Book Antiqua"/>
          <w:sz w:val="24"/>
          <w:szCs w:val="24"/>
        </w:rPr>
        <w:t xml:space="preserve">tice of Appearance </w:t>
      </w:r>
      <w:r w:rsidR="007A607A" w:rsidRPr="008C21D8">
        <w:rPr>
          <w:rFonts w:ascii="Book Antiqua" w:hAnsi="Book Antiqua"/>
          <w:sz w:val="24"/>
          <w:szCs w:val="24"/>
        </w:rPr>
        <w:t xml:space="preserve">or Notice of Change of Solicitor </w:t>
      </w:r>
      <w:r w:rsidR="007F463A" w:rsidRPr="008C21D8">
        <w:rPr>
          <w:rFonts w:ascii="Book Antiqua" w:hAnsi="Book Antiqua"/>
          <w:sz w:val="24"/>
          <w:szCs w:val="24"/>
        </w:rPr>
        <w:t>in each case</w:t>
      </w:r>
      <w:r w:rsidRPr="008C21D8">
        <w:rPr>
          <w:rFonts w:ascii="Book Antiqua" w:hAnsi="Book Antiqua"/>
          <w:sz w:val="24"/>
          <w:szCs w:val="24"/>
        </w:rPr>
        <w:t xml:space="preserve"> automatically becomes the Case Manager for the relevant party on behalf of whom the document is filed.</w:t>
      </w:r>
      <w:r w:rsidR="00883592" w:rsidRPr="008C21D8">
        <w:rPr>
          <w:rFonts w:ascii="Book Antiqua" w:hAnsi="Book Antiqua"/>
          <w:sz w:val="24"/>
          <w:szCs w:val="24"/>
        </w:rPr>
        <w:t xml:space="preserve"> </w:t>
      </w:r>
      <w:r w:rsidRPr="008C21D8">
        <w:rPr>
          <w:rFonts w:ascii="Book Antiqua" w:hAnsi="Book Antiqua"/>
          <w:sz w:val="24"/>
          <w:szCs w:val="24"/>
        </w:rPr>
        <w:t>There can be only one Case Manager for each party at any time.</w:t>
      </w:r>
    </w:p>
    <w:p w14:paraId="4BFC2A44" w14:textId="77777777" w:rsidR="007A607A" w:rsidRPr="006F0F70" w:rsidRDefault="007A607A" w:rsidP="007A607A">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The Case Manager must register with RedCrest before</w:t>
      </w:r>
      <w:r w:rsidRPr="00527FF5">
        <w:rPr>
          <w:rFonts w:ascii="Book Antiqua" w:hAnsi="Book Antiqua"/>
          <w:sz w:val="24"/>
          <w:szCs w:val="24"/>
        </w:rPr>
        <w:t xml:space="preserve"> </w:t>
      </w:r>
      <w:r>
        <w:rPr>
          <w:rFonts w:ascii="Book Antiqua" w:hAnsi="Book Antiqua"/>
          <w:sz w:val="24"/>
          <w:szCs w:val="24"/>
        </w:rPr>
        <w:t>the Originating Process</w:t>
      </w:r>
      <w:r w:rsidRPr="00527FF5">
        <w:rPr>
          <w:rFonts w:ascii="Book Antiqua" w:hAnsi="Book Antiqua"/>
          <w:sz w:val="24"/>
          <w:szCs w:val="24"/>
        </w:rPr>
        <w:t xml:space="preserve">, </w:t>
      </w:r>
      <w:r>
        <w:rPr>
          <w:rFonts w:ascii="Book Antiqua" w:hAnsi="Book Antiqua"/>
          <w:sz w:val="24"/>
          <w:szCs w:val="24"/>
        </w:rPr>
        <w:t>N</w:t>
      </w:r>
      <w:r w:rsidRPr="00527FF5">
        <w:rPr>
          <w:rFonts w:ascii="Book Antiqua" w:hAnsi="Book Antiqua"/>
          <w:sz w:val="24"/>
          <w:szCs w:val="24"/>
        </w:rPr>
        <w:t xml:space="preserve">otice of </w:t>
      </w:r>
      <w:r>
        <w:rPr>
          <w:rFonts w:ascii="Book Antiqua" w:hAnsi="Book Antiqua"/>
          <w:sz w:val="24"/>
          <w:szCs w:val="24"/>
        </w:rPr>
        <w:t>A</w:t>
      </w:r>
      <w:r w:rsidRPr="008C07AC">
        <w:rPr>
          <w:rFonts w:ascii="Book Antiqua" w:hAnsi="Book Antiqua"/>
          <w:sz w:val="24"/>
          <w:szCs w:val="24"/>
        </w:rPr>
        <w:t>ppear</w:t>
      </w:r>
      <w:r w:rsidRPr="00527FF5">
        <w:rPr>
          <w:rFonts w:ascii="Book Antiqua" w:hAnsi="Book Antiqua"/>
          <w:sz w:val="24"/>
          <w:szCs w:val="24"/>
        </w:rPr>
        <w:t xml:space="preserve">ance or </w:t>
      </w:r>
      <w:r>
        <w:rPr>
          <w:rFonts w:ascii="Book Antiqua" w:hAnsi="Book Antiqua"/>
          <w:sz w:val="24"/>
          <w:szCs w:val="24"/>
        </w:rPr>
        <w:t>N</w:t>
      </w:r>
      <w:r w:rsidRPr="00527FF5">
        <w:rPr>
          <w:rFonts w:ascii="Book Antiqua" w:hAnsi="Book Antiqua"/>
          <w:sz w:val="24"/>
          <w:szCs w:val="24"/>
        </w:rPr>
        <w:t xml:space="preserve">otice of </w:t>
      </w:r>
      <w:r>
        <w:rPr>
          <w:rFonts w:ascii="Book Antiqua" w:hAnsi="Book Antiqua"/>
          <w:sz w:val="24"/>
          <w:szCs w:val="24"/>
        </w:rPr>
        <w:t>C</w:t>
      </w:r>
      <w:r w:rsidRPr="00527FF5">
        <w:rPr>
          <w:rFonts w:ascii="Book Antiqua" w:hAnsi="Book Antiqua"/>
          <w:sz w:val="24"/>
          <w:szCs w:val="24"/>
        </w:rPr>
        <w:t xml:space="preserve">hange of </w:t>
      </w:r>
      <w:r>
        <w:rPr>
          <w:rFonts w:ascii="Book Antiqua" w:hAnsi="Book Antiqua"/>
          <w:sz w:val="24"/>
          <w:szCs w:val="24"/>
        </w:rPr>
        <w:t>S</w:t>
      </w:r>
      <w:r w:rsidRPr="008C07AC">
        <w:rPr>
          <w:rFonts w:ascii="Book Antiqua" w:hAnsi="Book Antiqua"/>
          <w:sz w:val="24"/>
          <w:szCs w:val="24"/>
        </w:rPr>
        <w:t>olicitor</w:t>
      </w:r>
      <w:r>
        <w:rPr>
          <w:rFonts w:ascii="Book Antiqua" w:hAnsi="Book Antiqua"/>
          <w:sz w:val="24"/>
          <w:szCs w:val="24"/>
        </w:rPr>
        <w:t xml:space="preserve"> is filed on behalf of a party. </w:t>
      </w:r>
    </w:p>
    <w:p w14:paraId="7B25D95B" w14:textId="77777777" w:rsidR="00386D74" w:rsidRPr="001B7982"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The Case Manager appointed by a party has particular and important responsibilities in </w:t>
      </w:r>
      <w:r w:rsidRPr="001B7982">
        <w:rPr>
          <w:rFonts w:ascii="Book Antiqua" w:hAnsi="Book Antiqua"/>
          <w:sz w:val="24"/>
          <w:szCs w:val="24"/>
        </w:rPr>
        <w:t>relation to RedCrest, namely:</w:t>
      </w:r>
    </w:p>
    <w:p w14:paraId="7B25D95C" w14:textId="516F744C" w:rsidR="00386D74" w:rsidRPr="001B7982" w:rsidRDefault="00D81BC0" w:rsidP="00386D74">
      <w:pPr>
        <w:pStyle w:val="ListParagraph"/>
        <w:numPr>
          <w:ilvl w:val="2"/>
          <w:numId w:val="24"/>
        </w:numPr>
        <w:spacing w:before="120" w:after="120"/>
        <w:ind w:left="1440"/>
        <w:jc w:val="both"/>
        <w:rPr>
          <w:rFonts w:ascii="Book Antiqua" w:hAnsi="Book Antiqua"/>
          <w:sz w:val="24"/>
          <w:szCs w:val="24"/>
        </w:rPr>
      </w:pPr>
      <w:r w:rsidRPr="001B7982">
        <w:rPr>
          <w:rFonts w:ascii="Book Antiqua" w:hAnsi="Book Antiqua"/>
          <w:sz w:val="24"/>
          <w:szCs w:val="24"/>
        </w:rPr>
        <w:t xml:space="preserve">Informing the </w:t>
      </w:r>
      <w:r w:rsidR="00312563">
        <w:rPr>
          <w:rFonts w:ascii="Book Antiqua" w:hAnsi="Book Antiqua"/>
          <w:sz w:val="24"/>
          <w:szCs w:val="24"/>
        </w:rPr>
        <w:t>Commercial Court Registry</w:t>
      </w:r>
      <w:r w:rsidRPr="001B7982">
        <w:rPr>
          <w:rFonts w:ascii="Book Antiqua" w:hAnsi="Book Antiqua"/>
          <w:sz w:val="24"/>
          <w:szCs w:val="24"/>
        </w:rPr>
        <w:t xml:space="preserve"> of registered </w:t>
      </w:r>
      <w:r w:rsidR="00312563">
        <w:rPr>
          <w:rFonts w:ascii="Book Antiqua" w:hAnsi="Book Antiqua"/>
          <w:sz w:val="24"/>
          <w:szCs w:val="24"/>
        </w:rPr>
        <w:t>users whose</w:t>
      </w:r>
      <w:r w:rsidRPr="001B7982">
        <w:rPr>
          <w:rFonts w:ascii="Book Antiqua" w:hAnsi="Book Antiqua"/>
          <w:sz w:val="24"/>
          <w:szCs w:val="24"/>
        </w:rPr>
        <w:t xml:space="preserve"> request </w:t>
      </w:r>
      <w:r w:rsidR="00D11720">
        <w:rPr>
          <w:rFonts w:ascii="Book Antiqua" w:hAnsi="Book Antiqua"/>
          <w:sz w:val="24"/>
          <w:szCs w:val="24"/>
        </w:rPr>
        <w:t xml:space="preserve">for </w:t>
      </w:r>
      <w:r w:rsidRPr="001B7982">
        <w:rPr>
          <w:rFonts w:ascii="Book Antiqua" w:hAnsi="Book Antiqua"/>
          <w:sz w:val="24"/>
          <w:szCs w:val="24"/>
        </w:rPr>
        <w:t>access to a case page</w:t>
      </w:r>
      <w:r w:rsidR="00312563">
        <w:rPr>
          <w:rFonts w:ascii="Book Antiqua" w:hAnsi="Book Antiqua"/>
          <w:sz w:val="24"/>
          <w:szCs w:val="24"/>
        </w:rPr>
        <w:t xml:space="preserve"> </w:t>
      </w:r>
      <w:r w:rsidRPr="001B7982">
        <w:rPr>
          <w:rFonts w:ascii="Book Antiqua" w:hAnsi="Book Antiqua"/>
          <w:sz w:val="24"/>
          <w:szCs w:val="24"/>
        </w:rPr>
        <w:t>should be approved</w:t>
      </w:r>
      <w:r w:rsidR="00772DAF">
        <w:rPr>
          <w:rFonts w:ascii="Book Antiqua" w:hAnsi="Book Antiqua"/>
          <w:sz w:val="24"/>
          <w:szCs w:val="24"/>
        </w:rPr>
        <w:t xml:space="preserve">.  Requests for access </w:t>
      </w:r>
      <w:r w:rsidR="002344B1">
        <w:rPr>
          <w:rFonts w:ascii="Book Antiqua" w:hAnsi="Book Antiqua"/>
          <w:sz w:val="24"/>
          <w:szCs w:val="24"/>
        </w:rPr>
        <w:t>must</w:t>
      </w:r>
      <w:r w:rsidR="0057739A">
        <w:rPr>
          <w:rFonts w:ascii="Book Antiqua" w:hAnsi="Book Antiqua"/>
          <w:sz w:val="24"/>
          <w:szCs w:val="24"/>
        </w:rPr>
        <w:t xml:space="preserve"> be</w:t>
      </w:r>
      <w:r w:rsidR="00772DAF">
        <w:rPr>
          <w:rFonts w:ascii="Book Antiqua" w:hAnsi="Book Antiqua"/>
          <w:sz w:val="24"/>
          <w:szCs w:val="24"/>
        </w:rPr>
        <w:t xml:space="preserve"> email</w:t>
      </w:r>
      <w:r w:rsidR="0057739A">
        <w:rPr>
          <w:rFonts w:ascii="Book Antiqua" w:hAnsi="Book Antiqua"/>
          <w:sz w:val="24"/>
          <w:szCs w:val="24"/>
        </w:rPr>
        <w:t>ed</w:t>
      </w:r>
      <w:r w:rsidR="0085374C">
        <w:rPr>
          <w:rFonts w:ascii="Book Antiqua" w:hAnsi="Book Antiqua"/>
          <w:sz w:val="24"/>
          <w:szCs w:val="24"/>
        </w:rPr>
        <w:t xml:space="preserve"> </w:t>
      </w:r>
      <w:r w:rsidR="00772DAF">
        <w:rPr>
          <w:rFonts w:ascii="Book Antiqua" w:hAnsi="Book Antiqua"/>
          <w:sz w:val="24"/>
          <w:szCs w:val="24"/>
        </w:rPr>
        <w:t xml:space="preserve">to the Commercial Court Registry at </w:t>
      </w:r>
      <w:hyperlink r:id="rId17" w:history="1">
        <w:r w:rsidR="0085374C" w:rsidRPr="004F1880">
          <w:rPr>
            <w:rStyle w:val="Hyperlink"/>
            <w:rFonts w:ascii="Book Antiqua" w:hAnsi="Book Antiqua"/>
            <w:sz w:val="24"/>
            <w:szCs w:val="24"/>
          </w:rPr>
          <w:t>redcrest@supcourt.vic.gov.au</w:t>
        </w:r>
      </w:hyperlink>
      <w:r w:rsidR="00386D74" w:rsidRPr="001B7982">
        <w:rPr>
          <w:rFonts w:ascii="Book Antiqua" w:hAnsi="Book Antiqua"/>
          <w:sz w:val="24"/>
          <w:szCs w:val="24"/>
        </w:rPr>
        <w:t>;</w:t>
      </w:r>
    </w:p>
    <w:p w14:paraId="7B25D95D" w14:textId="77777777" w:rsidR="00D11720" w:rsidRDefault="00D81BC0">
      <w:pPr>
        <w:pStyle w:val="ListParagraph"/>
        <w:numPr>
          <w:ilvl w:val="2"/>
          <w:numId w:val="24"/>
        </w:numPr>
        <w:spacing w:before="120" w:after="120"/>
        <w:ind w:left="1440"/>
        <w:jc w:val="both"/>
        <w:rPr>
          <w:rFonts w:ascii="Book Antiqua" w:hAnsi="Book Antiqua"/>
          <w:sz w:val="24"/>
          <w:szCs w:val="24"/>
        </w:rPr>
      </w:pPr>
      <w:r w:rsidRPr="001B7982">
        <w:rPr>
          <w:rFonts w:ascii="Book Antiqua" w:hAnsi="Book Antiqua"/>
          <w:sz w:val="24"/>
          <w:szCs w:val="24"/>
        </w:rPr>
        <w:t xml:space="preserve">Informing the </w:t>
      </w:r>
      <w:r w:rsidR="00312563">
        <w:rPr>
          <w:rFonts w:ascii="Book Antiqua" w:hAnsi="Book Antiqua"/>
          <w:sz w:val="24"/>
          <w:szCs w:val="24"/>
        </w:rPr>
        <w:t>Commercial Court Registry</w:t>
      </w:r>
      <w:r w:rsidRPr="001B7982">
        <w:rPr>
          <w:rFonts w:ascii="Book Antiqua" w:hAnsi="Book Antiqua"/>
          <w:sz w:val="24"/>
          <w:szCs w:val="24"/>
        </w:rPr>
        <w:t xml:space="preserve"> when a registered </w:t>
      </w:r>
      <w:r w:rsidR="00312563">
        <w:rPr>
          <w:rFonts w:ascii="Book Antiqua" w:hAnsi="Book Antiqua"/>
          <w:sz w:val="24"/>
          <w:szCs w:val="24"/>
        </w:rPr>
        <w:t>user</w:t>
      </w:r>
      <w:r w:rsidRPr="001B7982">
        <w:rPr>
          <w:rFonts w:ascii="Book Antiqua" w:hAnsi="Book Antiqua"/>
          <w:sz w:val="24"/>
          <w:szCs w:val="24"/>
        </w:rPr>
        <w:t xml:space="preserve"> should no longer have access to a case page</w:t>
      </w:r>
      <w:r w:rsidR="00312563" w:rsidRPr="008C4591">
        <w:rPr>
          <w:rFonts w:ascii="Book Antiqua" w:hAnsi="Book Antiqua"/>
        </w:rPr>
        <w:t>,</w:t>
      </w:r>
      <w:r w:rsidR="00312563">
        <w:rPr>
          <w:rFonts w:ascii="Book Antiqua" w:hAnsi="Book Antiqua"/>
          <w:b/>
          <w:sz w:val="24"/>
          <w:szCs w:val="24"/>
        </w:rPr>
        <w:t xml:space="preserve"> </w:t>
      </w:r>
      <w:r w:rsidR="00386D74" w:rsidRPr="001B7982">
        <w:rPr>
          <w:rFonts w:ascii="Book Antiqua" w:hAnsi="Book Antiqua"/>
          <w:sz w:val="24"/>
          <w:szCs w:val="24"/>
        </w:rPr>
        <w:t xml:space="preserve">for example, where a practitioner leaves a legal firm; </w:t>
      </w:r>
    </w:p>
    <w:p w14:paraId="7B25D95E" w14:textId="77777777" w:rsidR="00D11720" w:rsidRDefault="00386D74">
      <w:pPr>
        <w:pStyle w:val="ListParagraph"/>
        <w:numPr>
          <w:ilvl w:val="2"/>
          <w:numId w:val="24"/>
        </w:numPr>
        <w:spacing w:before="120" w:after="120"/>
        <w:ind w:left="1440"/>
        <w:jc w:val="both"/>
        <w:rPr>
          <w:rFonts w:ascii="Book Antiqua" w:hAnsi="Book Antiqua"/>
          <w:sz w:val="24"/>
          <w:szCs w:val="24"/>
        </w:rPr>
      </w:pPr>
      <w:r w:rsidRPr="008C4591">
        <w:rPr>
          <w:rFonts w:ascii="Book Antiqua" w:hAnsi="Book Antiqua"/>
          <w:sz w:val="24"/>
          <w:szCs w:val="24"/>
        </w:rPr>
        <w:t xml:space="preserve">Assigning the </w:t>
      </w:r>
      <w:r w:rsidR="000B20C1" w:rsidRPr="008C4591">
        <w:rPr>
          <w:rFonts w:ascii="Book Antiqua" w:hAnsi="Book Antiqua"/>
          <w:sz w:val="24"/>
          <w:szCs w:val="24"/>
        </w:rPr>
        <w:t xml:space="preserve">responsibilities </w:t>
      </w:r>
      <w:r w:rsidRPr="008C4591">
        <w:rPr>
          <w:rFonts w:ascii="Book Antiqua" w:hAnsi="Book Antiqua"/>
          <w:sz w:val="24"/>
          <w:szCs w:val="24"/>
        </w:rPr>
        <w:t>of Case Manager to another</w:t>
      </w:r>
      <w:r w:rsidR="00C53AFD">
        <w:rPr>
          <w:rFonts w:ascii="Book Antiqua" w:hAnsi="Book Antiqua"/>
          <w:sz w:val="24"/>
          <w:szCs w:val="24"/>
        </w:rPr>
        <w:t xml:space="preserve"> </w:t>
      </w:r>
      <w:r w:rsidRPr="008C4591">
        <w:rPr>
          <w:rFonts w:ascii="Book Antiqua" w:hAnsi="Book Antiqua"/>
          <w:sz w:val="24"/>
          <w:szCs w:val="24"/>
        </w:rPr>
        <w:t xml:space="preserve">Case Manager if necessary; </w:t>
      </w:r>
      <w:r w:rsidR="00C53AFD">
        <w:rPr>
          <w:rFonts w:ascii="Book Antiqua" w:hAnsi="Book Antiqua"/>
          <w:sz w:val="24"/>
          <w:szCs w:val="24"/>
        </w:rPr>
        <w:t>and</w:t>
      </w:r>
    </w:p>
    <w:p w14:paraId="7B25D95F" w14:textId="77777777" w:rsidR="00386D74" w:rsidRPr="00386D74" w:rsidRDefault="00D11720">
      <w:pPr>
        <w:pStyle w:val="ListParagraph"/>
        <w:numPr>
          <w:ilvl w:val="2"/>
          <w:numId w:val="24"/>
        </w:numPr>
        <w:spacing w:before="120" w:after="120"/>
        <w:ind w:left="1440"/>
        <w:jc w:val="both"/>
        <w:rPr>
          <w:rFonts w:ascii="Book Antiqua" w:hAnsi="Book Antiqua"/>
          <w:sz w:val="24"/>
          <w:szCs w:val="24"/>
        </w:rPr>
      </w:pPr>
      <w:r>
        <w:rPr>
          <w:rFonts w:ascii="Book Antiqua" w:hAnsi="Book Antiqua"/>
          <w:sz w:val="24"/>
          <w:szCs w:val="24"/>
        </w:rPr>
        <w:t xml:space="preserve">Receiving all </w:t>
      </w:r>
      <w:r w:rsidRPr="008C4591">
        <w:rPr>
          <w:rFonts w:ascii="Book Antiqua" w:hAnsi="Book Antiqua"/>
          <w:sz w:val="24"/>
          <w:szCs w:val="24"/>
        </w:rPr>
        <w:t>notifications of the filing of documents, including filings by other parties, and brin</w:t>
      </w:r>
      <w:r w:rsidR="00C53AFD">
        <w:rPr>
          <w:rFonts w:ascii="Book Antiqua" w:hAnsi="Book Antiqua"/>
          <w:sz w:val="24"/>
          <w:szCs w:val="24"/>
        </w:rPr>
        <w:t>g</w:t>
      </w:r>
      <w:r w:rsidRPr="008C4591">
        <w:rPr>
          <w:rFonts w:ascii="Book Antiqua" w:hAnsi="Book Antiqua"/>
          <w:sz w:val="24"/>
          <w:szCs w:val="24"/>
        </w:rPr>
        <w:t>ing those notifications to the attention of any other relevant users with access to the case pag</w:t>
      </w:r>
      <w:r>
        <w:rPr>
          <w:rFonts w:ascii="Book Antiqua" w:hAnsi="Book Antiqua"/>
          <w:sz w:val="24"/>
          <w:szCs w:val="24"/>
        </w:rPr>
        <w:t>e</w:t>
      </w:r>
      <w:r w:rsidR="00C53AFD">
        <w:rPr>
          <w:rFonts w:ascii="Book Antiqua" w:hAnsi="Book Antiqua"/>
          <w:sz w:val="24"/>
          <w:szCs w:val="24"/>
        </w:rPr>
        <w:t>.</w:t>
      </w:r>
    </w:p>
    <w:p w14:paraId="7B25D960"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In the case of a self-repr</w:t>
      </w:r>
      <w:r w:rsidR="00DE58F3">
        <w:rPr>
          <w:rFonts w:ascii="Book Antiqua" w:hAnsi="Book Antiqua"/>
          <w:sz w:val="24"/>
          <w:szCs w:val="24"/>
        </w:rPr>
        <w:t xml:space="preserve">esented party, the Prothonotary, </w:t>
      </w:r>
      <w:r w:rsidRPr="00386D74">
        <w:rPr>
          <w:rFonts w:ascii="Book Antiqua" w:hAnsi="Book Antiqua"/>
          <w:sz w:val="24"/>
          <w:szCs w:val="24"/>
        </w:rPr>
        <w:t xml:space="preserve">Deputy Prothonotary </w:t>
      </w:r>
      <w:r w:rsidR="00DE58F3">
        <w:rPr>
          <w:rFonts w:ascii="Book Antiqua" w:hAnsi="Book Antiqua"/>
          <w:sz w:val="24"/>
          <w:szCs w:val="24"/>
        </w:rPr>
        <w:t xml:space="preserve">or the Self-Represented Litigant Co-ordinator </w:t>
      </w:r>
      <w:r w:rsidRPr="00386D74">
        <w:rPr>
          <w:rFonts w:ascii="Book Antiqua" w:hAnsi="Book Antiqua"/>
          <w:sz w:val="24"/>
          <w:szCs w:val="24"/>
        </w:rPr>
        <w:t xml:space="preserve">will act as the Case Manager. </w:t>
      </w:r>
    </w:p>
    <w:p w14:paraId="7B25D961" w14:textId="77777777" w:rsid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lastRenderedPageBreak/>
        <w:t xml:space="preserve">It is the Case Manager’s responsibility to ensure the correct users associated with a party to a case have access </w:t>
      </w:r>
      <w:r w:rsidR="00590203">
        <w:rPr>
          <w:rFonts w:ascii="Book Antiqua" w:hAnsi="Book Antiqua"/>
          <w:sz w:val="24"/>
          <w:szCs w:val="24"/>
        </w:rPr>
        <w:t xml:space="preserve">to the case page </w:t>
      </w:r>
      <w:r w:rsidRPr="00386D74">
        <w:rPr>
          <w:rFonts w:ascii="Book Antiqua" w:hAnsi="Book Antiqua"/>
          <w:sz w:val="24"/>
          <w:szCs w:val="24"/>
        </w:rPr>
        <w:t xml:space="preserve">and that the accuracy of these details is maintained (for example, where a legal practitioner leaves a firm or where new counsel is briefed). </w:t>
      </w:r>
      <w:r w:rsidR="00883592">
        <w:rPr>
          <w:rFonts w:ascii="Book Antiqua" w:hAnsi="Book Antiqua"/>
          <w:sz w:val="24"/>
          <w:szCs w:val="24"/>
        </w:rPr>
        <w:t xml:space="preserve"> </w:t>
      </w:r>
      <w:r w:rsidRPr="00386D74">
        <w:rPr>
          <w:rFonts w:ascii="Book Antiqua" w:hAnsi="Book Antiqua"/>
          <w:sz w:val="24"/>
          <w:szCs w:val="24"/>
        </w:rPr>
        <w:t xml:space="preserve">Similarly, if a user who has access to a case </w:t>
      </w:r>
      <w:r w:rsidR="009B18C5">
        <w:rPr>
          <w:rFonts w:ascii="Book Antiqua" w:hAnsi="Book Antiqua"/>
          <w:sz w:val="24"/>
          <w:szCs w:val="24"/>
        </w:rPr>
        <w:t xml:space="preserve">page </w:t>
      </w:r>
      <w:r w:rsidRPr="00386D74">
        <w:rPr>
          <w:rFonts w:ascii="Book Antiqua" w:hAnsi="Book Antiqua"/>
          <w:sz w:val="24"/>
          <w:szCs w:val="24"/>
        </w:rPr>
        <w:t xml:space="preserve">leaves a firm or ceases working on a case, that user must advise the Case Manager so that the Case Manager can </w:t>
      </w:r>
      <w:r w:rsidR="000E2F0E">
        <w:rPr>
          <w:rFonts w:ascii="Book Antiqua" w:hAnsi="Book Antiqua"/>
          <w:sz w:val="24"/>
          <w:szCs w:val="24"/>
        </w:rPr>
        <w:t>request</w:t>
      </w:r>
      <w:r w:rsidR="00312563">
        <w:rPr>
          <w:rFonts w:ascii="Book Antiqua" w:hAnsi="Book Antiqua"/>
          <w:sz w:val="24"/>
          <w:szCs w:val="24"/>
        </w:rPr>
        <w:t xml:space="preserve"> the </w:t>
      </w:r>
      <w:r w:rsidR="00574381">
        <w:rPr>
          <w:rFonts w:ascii="Book Antiqua" w:hAnsi="Book Antiqua"/>
          <w:sz w:val="24"/>
          <w:szCs w:val="24"/>
        </w:rPr>
        <w:t xml:space="preserve">Commercial Court Registry to </w:t>
      </w:r>
      <w:r w:rsidRPr="00386D74">
        <w:rPr>
          <w:rFonts w:ascii="Book Antiqua" w:hAnsi="Book Antiqua"/>
          <w:sz w:val="24"/>
          <w:szCs w:val="24"/>
        </w:rPr>
        <w:t>remove that user’s access to any applicable RedCrest case</w:t>
      </w:r>
      <w:r w:rsidR="009B18C5">
        <w:rPr>
          <w:rFonts w:ascii="Book Antiqua" w:hAnsi="Book Antiqua"/>
          <w:sz w:val="24"/>
          <w:szCs w:val="24"/>
        </w:rPr>
        <w:t xml:space="preserve"> page</w:t>
      </w:r>
      <w:r w:rsidRPr="00386D74">
        <w:rPr>
          <w:rFonts w:ascii="Book Antiqua" w:hAnsi="Book Antiqua"/>
          <w:sz w:val="24"/>
          <w:szCs w:val="24"/>
        </w:rPr>
        <w:t xml:space="preserve">(s). </w:t>
      </w:r>
      <w:r w:rsidR="00883592">
        <w:rPr>
          <w:rFonts w:ascii="Book Antiqua" w:hAnsi="Book Antiqua"/>
          <w:sz w:val="24"/>
          <w:szCs w:val="24"/>
        </w:rPr>
        <w:t xml:space="preserve"> </w:t>
      </w:r>
      <w:r w:rsidRPr="00386D74">
        <w:rPr>
          <w:rFonts w:ascii="Book Antiqua" w:hAnsi="Book Antiqua"/>
          <w:sz w:val="24"/>
          <w:szCs w:val="24"/>
        </w:rPr>
        <w:t xml:space="preserve">Where the departing legal practitioner is also the RedCrest Case Manager, that person must transfer the Case Manager status to a nominated person prior to departure. </w:t>
      </w:r>
      <w:r w:rsidR="00883592">
        <w:rPr>
          <w:rFonts w:ascii="Book Antiqua" w:hAnsi="Book Antiqua"/>
          <w:sz w:val="24"/>
          <w:szCs w:val="24"/>
        </w:rPr>
        <w:t xml:space="preserve"> </w:t>
      </w:r>
      <w:r w:rsidRPr="00386D74">
        <w:rPr>
          <w:rFonts w:ascii="Book Antiqua" w:hAnsi="Book Antiqua"/>
          <w:sz w:val="24"/>
          <w:szCs w:val="24"/>
        </w:rPr>
        <w:t xml:space="preserve">They must also notify the </w:t>
      </w:r>
      <w:r w:rsidR="00574381">
        <w:rPr>
          <w:rFonts w:ascii="Book Antiqua" w:hAnsi="Book Antiqua"/>
          <w:sz w:val="24"/>
          <w:szCs w:val="24"/>
        </w:rPr>
        <w:t>Commercial Court Registry</w:t>
      </w:r>
      <w:r w:rsidRPr="00386D74">
        <w:rPr>
          <w:rFonts w:ascii="Book Antiqua" w:hAnsi="Book Antiqua"/>
          <w:sz w:val="24"/>
          <w:szCs w:val="24"/>
        </w:rPr>
        <w:t xml:space="preserve"> in</w:t>
      </w:r>
      <w:r w:rsidR="00883592">
        <w:rPr>
          <w:rFonts w:ascii="Book Antiqua" w:hAnsi="Book Antiqua"/>
          <w:sz w:val="24"/>
          <w:szCs w:val="24"/>
        </w:rPr>
        <w:t xml:space="preserve"> writing of the change of Case M</w:t>
      </w:r>
      <w:r w:rsidRPr="00386D74">
        <w:rPr>
          <w:rFonts w:ascii="Book Antiqua" w:hAnsi="Book Antiqua"/>
          <w:sz w:val="24"/>
          <w:szCs w:val="24"/>
        </w:rPr>
        <w:t>anager so that the outgoing Case Manager’s system account can be deactivated.</w:t>
      </w:r>
    </w:p>
    <w:p w14:paraId="7B25D962" w14:textId="77777777" w:rsidR="00C75307" w:rsidRPr="00C75307" w:rsidRDefault="00C75307" w:rsidP="00C75307">
      <w:pPr>
        <w:spacing w:before="120" w:after="120"/>
        <w:jc w:val="both"/>
        <w:rPr>
          <w:rFonts w:ascii="Book Antiqua" w:hAnsi="Book Antiqua"/>
        </w:rPr>
      </w:pPr>
    </w:p>
    <w:p w14:paraId="7B25D963" w14:textId="77777777" w:rsidR="00386D74" w:rsidRPr="007917BE" w:rsidRDefault="00386D74" w:rsidP="00386D74">
      <w:pPr>
        <w:pStyle w:val="Heading1"/>
        <w:spacing w:before="120" w:after="120"/>
        <w:rPr>
          <w:rFonts w:ascii="Book Antiqua" w:hAnsi="Book Antiqua"/>
          <w:szCs w:val="24"/>
        </w:rPr>
      </w:pPr>
      <w:r>
        <w:rPr>
          <w:rFonts w:ascii="Book Antiqua" w:hAnsi="Book Antiqua"/>
          <w:szCs w:val="24"/>
        </w:rPr>
        <w:t>ALLOCATION OF PROCEEDINGS</w:t>
      </w:r>
      <w:r w:rsidR="00312563">
        <w:rPr>
          <w:rFonts w:ascii="Book Antiqua" w:hAnsi="Book Antiqua"/>
          <w:szCs w:val="24"/>
        </w:rPr>
        <w:t xml:space="preserve"> AND FIRST DIRECTIONS</w:t>
      </w:r>
    </w:p>
    <w:p w14:paraId="7B25D964" w14:textId="77777777" w:rsidR="00EB197A" w:rsidRDefault="00386D74" w:rsidP="00F92097">
      <w:pPr>
        <w:pStyle w:val="ListParagraph"/>
        <w:numPr>
          <w:ilvl w:val="1"/>
          <w:numId w:val="24"/>
        </w:numPr>
        <w:ind w:left="720" w:hanging="720"/>
        <w:jc w:val="both"/>
        <w:rPr>
          <w:rFonts w:ascii="Book Antiqua" w:hAnsi="Book Antiqua"/>
          <w:sz w:val="24"/>
          <w:szCs w:val="24"/>
        </w:rPr>
      </w:pPr>
      <w:r w:rsidRPr="00386D74">
        <w:rPr>
          <w:rFonts w:ascii="Book Antiqua" w:hAnsi="Book Antiqua"/>
          <w:sz w:val="24"/>
          <w:szCs w:val="24"/>
        </w:rPr>
        <w:t xml:space="preserve">After initiation, the proceeding will be allocated to a </w:t>
      </w:r>
      <w:r w:rsidR="00883592">
        <w:rPr>
          <w:rFonts w:ascii="Book Antiqua" w:hAnsi="Book Antiqua"/>
          <w:sz w:val="24"/>
          <w:szCs w:val="24"/>
        </w:rPr>
        <w:t>Judge-managed L</w:t>
      </w:r>
      <w:r w:rsidRPr="00386D74">
        <w:rPr>
          <w:rFonts w:ascii="Book Antiqua" w:hAnsi="Book Antiqua"/>
          <w:sz w:val="24"/>
          <w:szCs w:val="24"/>
        </w:rPr>
        <w:t>ist by the Commercial Court following a review of the features and characteristics of the proceeding.</w:t>
      </w:r>
      <w:r w:rsidR="00883592">
        <w:rPr>
          <w:rFonts w:ascii="Book Antiqua" w:hAnsi="Book Antiqua"/>
          <w:sz w:val="24"/>
          <w:szCs w:val="24"/>
        </w:rPr>
        <w:t xml:space="preserve"> </w:t>
      </w:r>
      <w:r w:rsidRPr="00386D74">
        <w:rPr>
          <w:rFonts w:ascii="Book Antiqua" w:hAnsi="Book Antiqua"/>
          <w:sz w:val="24"/>
          <w:szCs w:val="24"/>
        </w:rPr>
        <w:t xml:space="preserve"> Following a</w:t>
      </w:r>
      <w:r w:rsidR="00883592">
        <w:rPr>
          <w:rFonts w:ascii="Book Antiqua" w:hAnsi="Book Antiqua"/>
          <w:sz w:val="24"/>
          <w:szCs w:val="24"/>
        </w:rPr>
        <w:t>llocation of a proceeding to a Judge-managed L</w:t>
      </w:r>
      <w:r w:rsidRPr="00386D74">
        <w:rPr>
          <w:rFonts w:ascii="Book Antiqua" w:hAnsi="Book Antiqua"/>
          <w:sz w:val="24"/>
          <w:szCs w:val="24"/>
        </w:rPr>
        <w:t xml:space="preserve">ist, the </w:t>
      </w:r>
      <w:r w:rsidR="00400AE2" w:rsidRPr="00386D74">
        <w:rPr>
          <w:rFonts w:ascii="Book Antiqua" w:hAnsi="Book Antiqua"/>
          <w:sz w:val="24"/>
          <w:szCs w:val="24"/>
        </w:rPr>
        <w:t>Commercial Court Registry</w:t>
      </w:r>
      <w:r w:rsidR="00400AE2">
        <w:rPr>
          <w:rFonts w:ascii="Book Antiqua" w:hAnsi="Book Antiqua"/>
          <w:sz w:val="24"/>
          <w:szCs w:val="24"/>
        </w:rPr>
        <w:t xml:space="preserve"> will notify the </w:t>
      </w:r>
      <w:r w:rsidRPr="00386D74">
        <w:rPr>
          <w:rFonts w:ascii="Book Antiqua" w:hAnsi="Book Antiqua"/>
          <w:sz w:val="24"/>
          <w:szCs w:val="24"/>
        </w:rPr>
        <w:t xml:space="preserve">parties of the allocation </w:t>
      </w:r>
      <w:r w:rsidR="00400AE2">
        <w:rPr>
          <w:rFonts w:ascii="Book Antiqua" w:hAnsi="Book Antiqua"/>
          <w:sz w:val="24"/>
          <w:szCs w:val="24"/>
        </w:rPr>
        <w:t>to a Judge-managed List and of a date for the first directions hearing</w:t>
      </w:r>
      <w:r w:rsidRPr="00386D74">
        <w:rPr>
          <w:rFonts w:ascii="Book Antiqua" w:hAnsi="Book Antiqua"/>
          <w:sz w:val="24"/>
          <w:szCs w:val="24"/>
        </w:rPr>
        <w:t xml:space="preserve">.  If </w:t>
      </w:r>
      <w:r w:rsidR="00883592">
        <w:rPr>
          <w:rFonts w:ascii="Book Antiqua" w:hAnsi="Book Antiqua"/>
          <w:sz w:val="24"/>
          <w:szCs w:val="24"/>
        </w:rPr>
        <w:t>a party nominates a particular Judge-managed L</w:t>
      </w:r>
      <w:r w:rsidRPr="00386D74">
        <w:rPr>
          <w:rFonts w:ascii="Book Antiqua" w:hAnsi="Book Antiqua"/>
          <w:sz w:val="24"/>
          <w:szCs w:val="24"/>
        </w:rPr>
        <w:t>ist at the time of initiation, this will either be confirmed or changed as a r</w:t>
      </w:r>
      <w:r w:rsidR="00EB197A">
        <w:rPr>
          <w:rFonts w:ascii="Book Antiqua" w:hAnsi="Book Antiqua"/>
          <w:sz w:val="24"/>
          <w:szCs w:val="24"/>
        </w:rPr>
        <w:t>esult of the allocation process.</w:t>
      </w:r>
    </w:p>
    <w:p w14:paraId="7B25D965" w14:textId="77777777" w:rsidR="009369CD" w:rsidRPr="009369CD" w:rsidRDefault="009369CD" w:rsidP="009369CD">
      <w:pPr>
        <w:jc w:val="both"/>
        <w:rPr>
          <w:rFonts w:ascii="Book Antiqua" w:hAnsi="Book Antiqua"/>
        </w:rPr>
      </w:pPr>
    </w:p>
    <w:p w14:paraId="7B25D966" w14:textId="77777777" w:rsidR="00386D74" w:rsidRPr="007917BE" w:rsidRDefault="00386D74" w:rsidP="00386D74">
      <w:pPr>
        <w:pStyle w:val="Heading1"/>
        <w:spacing w:before="120" w:after="120"/>
        <w:rPr>
          <w:rFonts w:ascii="Book Antiqua" w:hAnsi="Book Antiqua"/>
          <w:szCs w:val="24"/>
        </w:rPr>
      </w:pPr>
      <w:r>
        <w:rPr>
          <w:rFonts w:ascii="Book Antiqua" w:hAnsi="Book Antiqua"/>
          <w:szCs w:val="24"/>
        </w:rPr>
        <w:t>URGENT APPLICATIONS</w:t>
      </w:r>
    </w:p>
    <w:p w14:paraId="7B25D967" w14:textId="77777777" w:rsidR="00386D74" w:rsidRPr="008E7463"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Applications of a genuinely urgent nature should be brought in accordance with the Commercial Court’s urgent application procedure as set out in the ‘Notice to the Profession - </w:t>
      </w:r>
      <w:r w:rsidRPr="008E7463">
        <w:rPr>
          <w:rFonts w:ascii="Book Antiqua" w:hAnsi="Book Antiqua"/>
          <w:sz w:val="24"/>
          <w:szCs w:val="24"/>
        </w:rPr>
        <w:t xml:space="preserve">Updated Practice Court Procedures (Commercial Court)’, which can be found on the Supreme Court’s website. </w:t>
      </w:r>
    </w:p>
    <w:p w14:paraId="7B25D968" w14:textId="77777777" w:rsidR="00F34606" w:rsidRPr="008C4591" w:rsidRDefault="00386D74" w:rsidP="008C4591">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lastRenderedPageBreak/>
        <w:t>New Commercial Court proceedings requiring urgent interlocutory relief may be initiated on RedCrest, particularly if interlocutory relief will form part of ongoing proceedings.</w:t>
      </w:r>
      <w:r w:rsidR="008E7463">
        <w:rPr>
          <w:rFonts w:ascii="Book Antiqua" w:hAnsi="Book Antiqua"/>
          <w:sz w:val="24"/>
          <w:szCs w:val="24"/>
        </w:rPr>
        <w:t xml:space="preserve"> </w:t>
      </w:r>
      <w:r w:rsidRPr="00386D74">
        <w:rPr>
          <w:rFonts w:ascii="Book Antiqua" w:hAnsi="Book Antiqua"/>
          <w:sz w:val="24"/>
          <w:szCs w:val="24"/>
        </w:rPr>
        <w:t xml:space="preserve"> </w:t>
      </w:r>
      <w:r w:rsidRPr="008C4591">
        <w:rPr>
          <w:rFonts w:ascii="Book Antiqua" w:hAnsi="Book Antiqua"/>
          <w:sz w:val="24"/>
          <w:szCs w:val="24"/>
        </w:rPr>
        <w:t xml:space="preserve">However, practitioners must direct their enquiries about urgent listings, in the first instance, to Commercial Court Registry on (03) 9603 4105 and by email at </w:t>
      </w:r>
      <w:hyperlink r:id="rId18" w:history="1">
        <w:r w:rsidR="00FB4C14" w:rsidRPr="00724292">
          <w:rPr>
            <w:rStyle w:val="Hyperlink"/>
            <w:rFonts w:ascii="Book Antiqua" w:hAnsi="Book Antiqua"/>
            <w:sz w:val="24"/>
            <w:szCs w:val="24"/>
          </w:rPr>
          <w:t>commercialcourturgents@supcourt.vic.gov.au</w:t>
        </w:r>
      </w:hyperlink>
      <w:r w:rsidRPr="008C4591">
        <w:rPr>
          <w:rFonts w:ascii="Book Antiqua" w:hAnsi="Book Antiqua"/>
          <w:sz w:val="24"/>
          <w:szCs w:val="24"/>
        </w:rPr>
        <w:t xml:space="preserve"> prior to initiating proceedings on RedCrest.</w:t>
      </w:r>
      <w:r w:rsidR="00F34606">
        <w:rPr>
          <w:rFonts w:ascii="Book Antiqua" w:hAnsi="Book Antiqua"/>
          <w:sz w:val="24"/>
          <w:szCs w:val="24"/>
        </w:rPr>
        <w:t xml:space="preserve">  Upon filing of the Originating Process in RedCrest, the urgent nature of the matter may be noted in the </w:t>
      </w:r>
      <w:r w:rsidR="009461D3">
        <w:rPr>
          <w:rFonts w:ascii="Book Antiqua" w:hAnsi="Book Antiqua"/>
          <w:sz w:val="24"/>
          <w:szCs w:val="24"/>
        </w:rPr>
        <w:t>‘</w:t>
      </w:r>
      <w:r w:rsidR="00F34606">
        <w:rPr>
          <w:rFonts w:ascii="Book Antiqua" w:hAnsi="Book Antiqua"/>
          <w:sz w:val="24"/>
          <w:szCs w:val="24"/>
        </w:rPr>
        <w:t>Filing Note</w:t>
      </w:r>
      <w:r w:rsidR="009461D3">
        <w:rPr>
          <w:rFonts w:ascii="Book Antiqua" w:hAnsi="Book Antiqua"/>
          <w:sz w:val="24"/>
          <w:szCs w:val="24"/>
        </w:rPr>
        <w:t>’</w:t>
      </w:r>
      <w:r w:rsidR="00F34606">
        <w:rPr>
          <w:rFonts w:ascii="Book Antiqua" w:hAnsi="Book Antiqua"/>
          <w:sz w:val="24"/>
          <w:szCs w:val="24"/>
        </w:rPr>
        <w:t xml:space="preserve"> field</w:t>
      </w:r>
      <w:r w:rsidR="00D94C2D">
        <w:rPr>
          <w:rFonts w:ascii="Book Antiqua" w:hAnsi="Book Antiqua"/>
          <w:sz w:val="24"/>
          <w:szCs w:val="24"/>
        </w:rPr>
        <w:t xml:space="preserve"> in RedCrest</w:t>
      </w:r>
      <w:r w:rsidR="00F34606">
        <w:rPr>
          <w:rFonts w:ascii="Book Antiqua" w:hAnsi="Book Antiqua"/>
          <w:sz w:val="24"/>
          <w:szCs w:val="24"/>
        </w:rPr>
        <w:t>.</w:t>
      </w:r>
    </w:p>
    <w:p w14:paraId="7B25D969" w14:textId="77777777" w:rsidR="00386D74" w:rsidRPr="00386D74" w:rsidRDefault="00386D74" w:rsidP="008C4591">
      <w:pPr>
        <w:pStyle w:val="ListParagraph"/>
        <w:numPr>
          <w:ilvl w:val="1"/>
          <w:numId w:val="24"/>
        </w:numPr>
        <w:spacing w:before="120" w:after="120"/>
        <w:ind w:left="720" w:hanging="720"/>
        <w:jc w:val="both"/>
      </w:pPr>
      <w:r w:rsidRPr="00386D74">
        <w:rPr>
          <w:rFonts w:ascii="Book Antiqua" w:hAnsi="Book Antiqua"/>
          <w:sz w:val="24"/>
          <w:szCs w:val="24"/>
        </w:rPr>
        <w:t>Where a pr</w:t>
      </w:r>
      <w:r w:rsidR="008E7463">
        <w:rPr>
          <w:rFonts w:ascii="Book Antiqua" w:hAnsi="Book Antiqua"/>
          <w:sz w:val="24"/>
          <w:szCs w:val="24"/>
        </w:rPr>
        <w:t>oceeding is under J</w:t>
      </w:r>
      <w:r w:rsidRPr="00386D74">
        <w:rPr>
          <w:rFonts w:ascii="Book Antiqua" w:hAnsi="Book Antiqua"/>
          <w:sz w:val="24"/>
          <w:szCs w:val="24"/>
        </w:rPr>
        <w:t xml:space="preserve">udge management, urgent applications may be sought by contacting the Associate to the List Judge and then informing the Commercial Court Registry of the allocated return date. </w:t>
      </w:r>
      <w:r w:rsidR="008E7463">
        <w:rPr>
          <w:rFonts w:ascii="Book Antiqua" w:hAnsi="Book Antiqua"/>
          <w:sz w:val="24"/>
          <w:szCs w:val="24"/>
        </w:rPr>
        <w:t xml:space="preserve"> </w:t>
      </w:r>
      <w:r w:rsidRPr="00386D74">
        <w:rPr>
          <w:rFonts w:ascii="Book Antiqua" w:hAnsi="Book Antiqua"/>
          <w:sz w:val="24"/>
          <w:szCs w:val="24"/>
        </w:rPr>
        <w:t>If the Associate to the List Judge is unavailable, practitioners should contact the Commercial Court Registry on the above number.</w:t>
      </w:r>
    </w:p>
    <w:p w14:paraId="7B25D96A" w14:textId="77777777" w:rsidR="00386D74" w:rsidRPr="00386D74" w:rsidRDefault="00386D74" w:rsidP="00386D74">
      <w:pPr>
        <w:pStyle w:val="ListParagraph"/>
        <w:spacing w:before="120" w:after="120"/>
        <w:jc w:val="both"/>
        <w:rPr>
          <w:rFonts w:ascii="Book Antiqua" w:hAnsi="Book Antiqua"/>
          <w:sz w:val="24"/>
          <w:szCs w:val="24"/>
        </w:rPr>
      </w:pPr>
    </w:p>
    <w:p w14:paraId="7B25D96B" w14:textId="77777777" w:rsidR="00386D74" w:rsidRPr="007917BE" w:rsidRDefault="00386D74" w:rsidP="00386D74">
      <w:pPr>
        <w:pStyle w:val="Heading1"/>
        <w:spacing w:before="120" w:after="120"/>
        <w:rPr>
          <w:rFonts w:ascii="Book Antiqua" w:hAnsi="Book Antiqua"/>
          <w:szCs w:val="24"/>
        </w:rPr>
      </w:pPr>
      <w:r>
        <w:rPr>
          <w:rFonts w:ascii="Book Antiqua" w:hAnsi="Book Antiqua"/>
          <w:szCs w:val="24"/>
        </w:rPr>
        <w:t>CONFIDENTIALITY STATUS OF DOCUMENTS</w:t>
      </w:r>
    </w:p>
    <w:p w14:paraId="7B25D96C" w14:textId="77777777" w:rsidR="004C6308" w:rsidRPr="00386D74" w:rsidRDefault="004C6308" w:rsidP="004C6308">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The following documents will be designated Confidential upon filing in</w:t>
      </w:r>
      <w:r w:rsidR="00A57EE4">
        <w:rPr>
          <w:rFonts w:ascii="Book Antiqua" w:hAnsi="Book Antiqua"/>
          <w:sz w:val="24"/>
          <w:szCs w:val="24"/>
        </w:rPr>
        <w:t xml:space="preserve"> </w:t>
      </w:r>
      <w:r w:rsidRPr="00386D74">
        <w:rPr>
          <w:rFonts w:ascii="Book Antiqua" w:hAnsi="Book Antiqua"/>
          <w:sz w:val="24"/>
          <w:szCs w:val="24"/>
        </w:rPr>
        <w:t xml:space="preserve">RedCrest: </w:t>
      </w:r>
    </w:p>
    <w:p w14:paraId="7B25D96D"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Exhibits to Affidavits;</w:t>
      </w:r>
    </w:p>
    <w:p w14:paraId="7B25D96E"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Outlines of Submissions;</w:t>
      </w:r>
    </w:p>
    <w:p w14:paraId="7B25D96F"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Outlines of Argument;</w:t>
      </w:r>
    </w:p>
    <w:p w14:paraId="7B25D970"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Lists of Authorities;</w:t>
      </w:r>
      <w:r w:rsidR="00DE77BC">
        <w:rPr>
          <w:rFonts w:ascii="Book Antiqua" w:hAnsi="Book Antiqua"/>
          <w:sz w:val="24"/>
          <w:szCs w:val="24"/>
        </w:rPr>
        <w:t xml:space="preserve"> </w:t>
      </w:r>
    </w:p>
    <w:p w14:paraId="7B25D971"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Order 44 Reports (Expert Witness Statements);</w:t>
      </w:r>
    </w:p>
    <w:p w14:paraId="7B25D972"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Witness Statements;</w:t>
      </w:r>
    </w:p>
    <w:p w14:paraId="7B25D973"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Outlines of Evidence;</w:t>
      </w:r>
    </w:p>
    <w:p w14:paraId="7B25D974"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Synopses of Evidence;</w:t>
      </w:r>
    </w:p>
    <w:p w14:paraId="7B25D975"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Chronologies; </w:t>
      </w:r>
    </w:p>
    <w:p w14:paraId="7B25D976"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Documents that by Court order are to be treated as confidential; and </w:t>
      </w:r>
    </w:p>
    <w:p w14:paraId="7B25D977" w14:textId="77777777" w:rsidR="004C6308" w:rsidRPr="00386D74" w:rsidRDefault="004C6308" w:rsidP="004C6308">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lastRenderedPageBreak/>
        <w:t>De Bene Esse evidence</w:t>
      </w:r>
      <w:r w:rsidR="00A231D0">
        <w:rPr>
          <w:rFonts w:ascii="Book Antiqua" w:hAnsi="Book Antiqua"/>
          <w:sz w:val="24"/>
          <w:szCs w:val="24"/>
        </w:rPr>
        <w:t xml:space="preserve"> or</w:t>
      </w:r>
      <w:r w:rsidR="008C4591">
        <w:rPr>
          <w:rFonts w:ascii="Book Antiqua" w:hAnsi="Book Antiqua"/>
          <w:sz w:val="24"/>
          <w:szCs w:val="24"/>
        </w:rPr>
        <w:t xml:space="preserve"> evidence by deposition</w:t>
      </w:r>
      <w:r w:rsidRPr="00386D74">
        <w:rPr>
          <w:rFonts w:ascii="Book Antiqua" w:hAnsi="Book Antiqua"/>
          <w:sz w:val="24"/>
          <w:szCs w:val="24"/>
        </w:rPr>
        <w:t>.</w:t>
      </w:r>
    </w:p>
    <w:p w14:paraId="7B25D978" w14:textId="77777777" w:rsidR="00386D74" w:rsidRPr="00386D74" w:rsidRDefault="00C63990" w:rsidP="00386D7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Confidential </w:t>
      </w:r>
      <w:r w:rsidRPr="00386D74">
        <w:rPr>
          <w:rFonts w:ascii="Book Antiqua" w:hAnsi="Book Antiqua"/>
          <w:sz w:val="24"/>
          <w:szCs w:val="24"/>
        </w:rPr>
        <w:t>documents</w:t>
      </w:r>
      <w:r w:rsidR="00386D74" w:rsidRPr="00386D74">
        <w:rPr>
          <w:rFonts w:ascii="Book Antiqua" w:hAnsi="Book Antiqua"/>
          <w:sz w:val="24"/>
          <w:szCs w:val="24"/>
        </w:rPr>
        <w:t xml:space="preserve"> will be made available on RedCrest only to the Court and to </w:t>
      </w:r>
      <w:r w:rsidR="00EE22B7">
        <w:rPr>
          <w:rFonts w:ascii="Book Antiqua" w:hAnsi="Book Antiqua"/>
          <w:sz w:val="24"/>
          <w:szCs w:val="24"/>
        </w:rPr>
        <w:t xml:space="preserve">registered users </w:t>
      </w:r>
      <w:r w:rsidR="001F7B74">
        <w:rPr>
          <w:rFonts w:ascii="Book Antiqua" w:hAnsi="Book Antiqua"/>
          <w:sz w:val="24"/>
          <w:szCs w:val="24"/>
        </w:rPr>
        <w:t>with access to</w:t>
      </w:r>
      <w:r w:rsidR="00386D74" w:rsidRPr="00386D74">
        <w:rPr>
          <w:rFonts w:ascii="Book Antiqua" w:hAnsi="Book Antiqua"/>
          <w:sz w:val="24"/>
          <w:szCs w:val="24"/>
        </w:rPr>
        <w:t xml:space="preserve"> </w:t>
      </w:r>
      <w:r w:rsidR="00412AB7">
        <w:rPr>
          <w:rFonts w:ascii="Book Antiqua" w:hAnsi="Book Antiqua"/>
          <w:sz w:val="24"/>
          <w:szCs w:val="24"/>
        </w:rPr>
        <w:t xml:space="preserve">the case page for </w:t>
      </w:r>
      <w:r w:rsidR="00386D74" w:rsidRPr="00386D74">
        <w:rPr>
          <w:rFonts w:ascii="Book Antiqua" w:hAnsi="Book Antiqua"/>
          <w:sz w:val="24"/>
          <w:szCs w:val="24"/>
        </w:rPr>
        <w:t xml:space="preserve">that case.  While a Confidential document will form part of the Court record, it will not be made accessible by file search to the public or persons who </w:t>
      </w:r>
      <w:r w:rsidR="00EE22B7">
        <w:rPr>
          <w:rFonts w:ascii="Book Antiqua" w:hAnsi="Book Antiqua"/>
          <w:sz w:val="24"/>
          <w:szCs w:val="24"/>
        </w:rPr>
        <w:t xml:space="preserve">do not have access </w:t>
      </w:r>
      <w:r w:rsidR="00EE22B7" w:rsidRPr="00386D74">
        <w:rPr>
          <w:rFonts w:ascii="Book Antiqua" w:hAnsi="Book Antiqua"/>
          <w:sz w:val="24"/>
          <w:szCs w:val="24"/>
        </w:rPr>
        <w:t>to</w:t>
      </w:r>
      <w:r w:rsidR="00EE22B7">
        <w:rPr>
          <w:rFonts w:ascii="Book Antiqua" w:hAnsi="Book Antiqua"/>
          <w:sz w:val="24"/>
          <w:szCs w:val="24"/>
        </w:rPr>
        <w:t xml:space="preserve"> </w:t>
      </w:r>
      <w:r w:rsidR="00386D74" w:rsidRPr="00386D74">
        <w:rPr>
          <w:rFonts w:ascii="Book Antiqua" w:hAnsi="Book Antiqua"/>
          <w:sz w:val="24"/>
          <w:szCs w:val="24"/>
        </w:rPr>
        <w:t>the particular case</w:t>
      </w:r>
      <w:r w:rsidR="00412AB7">
        <w:rPr>
          <w:rFonts w:ascii="Book Antiqua" w:hAnsi="Book Antiqua"/>
          <w:sz w:val="24"/>
          <w:szCs w:val="24"/>
        </w:rPr>
        <w:t xml:space="preserve"> page</w:t>
      </w:r>
      <w:r w:rsidR="00386D74" w:rsidRPr="00386D74">
        <w:rPr>
          <w:rFonts w:ascii="Book Antiqua" w:hAnsi="Book Antiqua"/>
          <w:sz w:val="24"/>
          <w:szCs w:val="24"/>
        </w:rPr>
        <w:t xml:space="preserve">. </w:t>
      </w:r>
    </w:p>
    <w:p w14:paraId="7B25D979" w14:textId="77777777" w:rsidR="00386D74" w:rsidRPr="00386D74" w:rsidRDefault="00386D74" w:rsidP="00386D74">
      <w:pPr>
        <w:pStyle w:val="ListParagraph"/>
        <w:numPr>
          <w:ilvl w:val="1"/>
          <w:numId w:val="24"/>
        </w:numPr>
        <w:spacing w:before="120" w:after="120"/>
        <w:ind w:left="720" w:hanging="720"/>
        <w:jc w:val="both"/>
        <w:rPr>
          <w:rFonts w:ascii="Book Antiqua" w:hAnsi="Book Antiqua"/>
          <w:sz w:val="24"/>
          <w:szCs w:val="24"/>
        </w:rPr>
      </w:pPr>
      <w:r w:rsidRPr="00386D74">
        <w:rPr>
          <w:rFonts w:ascii="Book Antiqua" w:hAnsi="Book Antiqua"/>
          <w:sz w:val="24"/>
          <w:szCs w:val="24"/>
        </w:rPr>
        <w:t xml:space="preserve">Rule 28A.17 of the Rules provides that the Court may make any order it thinks fit as to confidentiality and privacy in relation to the filing of documents on RedCrest. </w:t>
      </w:r>
      <w:r w:rsidR="008E7463">
        <w:rPr>
          <w:rFonts w:ascii="Book Antiqua" w:hAnsi="Book Antiqua"/>
          <w:sz w:val="24"/>
          <w:szCs w:val="24"/>
        </w:rPr>
        <w:t xml:space="preserve"> </w:t>
      </w:r>
      <w:r w:rsidRPr="00386D74">
        <w:rPr>
          <w:rFonts w:ascii="Book Antiqua" w:hAnsi="Book Antiqua"/>
          <w:sz w:val="24"/>
          <w:szCs w:val="24"/>
        </w:rPr>
        <w:t>For example, the Court may:</w:t>
      </w:r>
    </w:p>
    <w:p w14:paraId="7B25D97A"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 xml:space="preserve">Designate a particular document not referred to in paragraph </w:t>
      </w:r>
      <w:r w:rsidR="00DF3525">
        <w:rPr>
          <w:rFonts w:ascii="Book Antiqua" w:hAnsi="Book Antiqua"/>
          <w:sz w:val="24"/>
          <w:szCs w:val="24"/>
        </w:rPr>
        <w:t>9.1</w:t>
      </w:r>
      <w:r w:rsidRPr="00386D74">
        <w:rPr>
          <w:rFonts w:ascii="Book Antiqua" w:hAnsi="Book Antiqua"/>
          <w:sz w:val="24"/>
          <w:szCs w:val="24"/>
        </w:rPr>
        <w:t xml:space="preserve"> be treated as confidential; </w:t>
      </w:r>
    </w:p>
    <w:p w14:paraId="7B25D97B" w14:textId="77777777" w:rsidR="00386D74" w:rsidRPr="00386D74"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Direct that a particular document b</w:t>
      </w:r>
      <w:r w:rsidR="008E7463">
        <w:rPr>
          <w:rFonts w:ascii="Book Antiqua" w:hAnsi="Book Antiqua"/>
          <w:sz w:val="24"/>
          <w:szCs w:val="24"/>
        </w:rPr>
        <w:t>e filed in a redacted form; and/</w:t>
      </w:r>
      <w:r w:rsidRPr="00386D74">
        <w:rPr>
          <w:rFonts w:ascii="Book Antiqua" w:hAnsi="Book Antiqua"/>
          <w:sz w:val="24"/>
          <w:szCs w:val="24"/>
        </w:rPr>
        <w:t xml:space="preserve">or </w:t>
      </w:r>
    </w:p>
    <w:p w14:paraId="7B25D97C" w14:textId="77777777" w:rsidR="00EB197A" w:rsidRDefault="00386D74" w:rsidP="009A2862">
      <w:pPr>
        <w:pStyle w:val="ListParagraph"/>
        <w:numPr>
          <w:ilvl w:val="2"/>
          <w:numId w:val="24"/>
        </w:numPr>
        <w:spacing w:before="120" w:after="120"/>
        <w:ind w:left="1728" w:hanging="1008"/>
        <w:jc w:val="both"/>
        <w:rPr>
          <w:rFonts w:ascii="Book Antiqua" w:hAnsi="Book Antiqua"/>
          <w:sz w:val="24"/>
          <w:szCs w:val="24"/>
        </w:rPr>
      </w:pPr>
      <w:r w:rsidRPr="00386D74">
        <w:rPr>
          <w:rFonts w:ascii="Book Antiqua" w:hAnsi="Book Antiqua"/>
          <w:sz w:val="24"/>
          <w:szCs w:val="24"/>
        </w:rPr>
        <w:t>Direct that a particular document be filed with an additional level of confidentiality (see further below).</w:t>
      </w:r>
    </w:p>
    <w:p w14:paraId="7B25D97D" w14:textId="77777777" w:rsidR="00EB197A" w:rsidRDefault="00EB197A" w:rsidP="00EB197A">
      <w:pPr>
        <w:pStyle w:val="ListParagraph"/>
        <w:spacing w:before="120" w:after="120"/>
        <w:ind w:left="1728"/>
        <w:jc w:val="both"/>
        <w:rPr>
          <w:rFonts w:ascii="Book Antiqua" w:hAnsi="Book Antiqua"/>
          <w:sz w:val="24"/>
          <w:szCs w:val="24"/>
        </w:rPr>
      </w:pPr>
    </w:p>
    <w:p w14:paraId="7B25D97E" w14:textId="77777777" w:rsidR="00386D74" w:rsidRPr="007917BE" w:rsidRDefault="009A2862" w:rsidP="00386D74">
      <w:pPr>
        <w:pStyle w:val="Heading1"/>
        <w:spacing w:before="120" w:after="120"/>
        <w:rPr>
          <w:rFonts w:ascii="Book Antiqua" w:hAnsi="Book Antiqua"/>
          <w:szCs w:val="24"/>
        </w:rPr>
      </w:pPr>
      <w:r>
        <w:rPr>
          <w:rFonts w:ascii="Book Antiqua" w:hAnsi="Book Antiqua"/>
          <w:szCs w:val="24"/>
        </w:rPr>
        <w:t>COMMERCIAL IN CONFIDENCE MATERIAL</w:t>
      </w:r>
    </w:p>
    <w:p w14:paraId="7B25D97F" w14:textId="77777777" w:rsidR="009A2862" w:rsidRPr="009A2862" w:rsidRDefault="009A2862" w:rsidP="009A2862">
      <w:pPr>
        <w:pStyle w:val="ListParagraph"/>
        <w:numPr>
          <w:ilvl w:val="1"/>
          <w:numId w:val="24"/>
        </w:numPr>
        <w:spacing w:before="120" w:after="120"/>
        <w:ind w:left="720" w:hanging="720"/>
        <w:jc w:val="both"/>
        <w:rPr>
          <w:rFonts w:ascii="Book Antiqua" w:hAnsi="Book Antiqua"/>
          <w:sz w:val="24"/>
          <w:szCs w:val="24"/>
        </w:rPr>
      </w:pPr>
      <w:r w:rsidRPr="009A2862">
        <w:rPr>
          <w:rFonts w:ascii="Book Antiqua" w:hAnsi="Book Antiqua"/>
          <w:sz w:val="24"/>
          <w:szCs w:val="24"/>
        </w:rPr>
        <w:t xml:space="preserve">Practitioners who intend to file material that is Commercial-in-Confidence, and which is </w:t>
      </w:r>
      <w:r w:rsidRPr="009A2862">
        <w:rPr>
          <w:rFonts w:ascii="Book Antiqua" w:hAnsi="Book Antiqua"/>
          <w:b/>
          <w:sz w:val="24"/>
          <w:szCs w:val="24"/>
        </w:rPr>
        <w:t>not intended to be made available to other parties</w:t>
      </w:r>
      <w:r w:rsidRPr="009A2862">
        <w:rPr>
          <w:rFonts w:ascii="Book Antiqua" w:hAnsi="Book Antiqua"/>
          <w:sz w:val="24"/>
          <w:szCs w:val="24"/>
        </w:rPr>
        <w:t xml:space="preserve"> or made available only on a restricted basis, require an order of the Court in advance of filing. </w:t>
      </w:r>
    </w:p>
    <w:p w14:paraId="7B25D980" w14:textId="77777777" w:rsidR="009A2862" w:rsidRDefault="009A2862" w:rsidP="009A2862">
      <w:pPr>
        <w:pStyle w:val="ListParagraph"/>
        <w:numPr>
          <w:ilvl w:val="1"/>
          <w:numId w:val="24"/>
        </w:numPr>
        <w:spacing w:before="120" w:after="120"/>
        <w:ind w:left="720" w:hanging="720"/>
        <w:jc w:val="both"/>
        <w:rPr>
          <w:rFonts w:ascii="Book Antiqua" w:hAnsi="Book Antiqua"/>
          <w:sz w:val="24"/>
          <w:szCs w:val="24"/>
        </w:rPr>
      </w:pPr>
      <w:r w:rsidRPr="009A2862">
        <w:rPr>
          <w:rFonts w:ascii="Book Antiqua" w:hAnsi="Book Antiqua"/>
          <w:sz w:val="24"/>
          <w:szCs w:val="24"/>
        </w:rPr>
        <w:t xml:space="preserve">It is critical that a practitioner who anticipates filing material of this nature contacts the Commercial Court Registry or the Associate to the List Judge managing the case </w:t>
      </w:r>
      <w:r w:rsidRPr="009A2862">
        <w:rPr>
          <w:rFonts w:ascii="Book Antiqua" w:hAnsi="Book Antiqua"/>
          <w:b/>
          <w:sz w:val="24"/>
          <w:szCs w:val="24"/>
        </w:rPr>
        <w:t>before</w:t>
      </w:r>
      <w:r w:rsidRPr="009A2862">
        <w:rPr>
          <w:rFonts w:ascii="Book Antiqua" w:hAnsi="Book Antiqua"/>
          <w:sz w:val="24"/>
          <w:szCs w:val="24"/>
        </w:rPr>
        <w:t xml:space="preserve"> filing to ensure that appropriate arrangements are in place for the treatment of that material.</w:t>
      </w:r>
    </w:p>
    <w:p w14:paraId="7B25D981" w14:textId="77777777" w:rsidR="00386D74" w:rsidRPr="00386D74" w:rsidRDefault="00386D74" w:rsidP="009A2862">
      <w:pPr>
        <w:pStyle w:val="ListParagraph"/>
        <w:spacing w:before="120" w:after="120"/>
        <w:ind w:left="360"/>
        <w:jc w:val="both"/>
        <w:rPr>
          <w:rFonts w:ascii="Book Antiqua" w:hAnsi="Book Antiqua"/>
          <w:sz w:val="24"/>
          <w:szCs w:val="24"/>
        </w:rPr>
      </w:pPr>
    </w:p>
    <w:p w14:paraId="7B25D982" w14:textId="77777777" w:rsidR="00386D74" w:rsidRPr="007917BE" w:rsidRDefault="009A2862" w:rsidP="00386D74">
      <w:pPr>
        <w:pStyle w:val="Heading1"/>
        <w:spacing w:before="120" w:after="120"/>
        <w:rPr>
          <w:rFonts w:ascii="Book Antiqua" w:hAnsi="Book Antiqua"/>
          <w:szCs w:val="24"/>
        </w:rPr>
      </w:pPr>
      <w:r>
        <w:rPr>
          <w:rFonts w:ascii="Book Antiqua" w:hAnsi="Book Antiqua"/>
          <w:szCs w:val="24"/>
        </w:rPr>
        <w:t>FILING A DOCUMENT IN ERROR</w:t>
      </w:r>
    </w:p>
    <w:p w14:paraId="7B25D983" w14:textId="77777777" w:rsidR="009A2862" w:rsidRPr="009A2862" w:rsidRDefault="009A2862" w:rsidP="00F92097">
      <w:pPr>
        <w:pStyle w:val="ListParagraph"/>
        <w:numPr>
          <w:ilvl w:val="1"/>
          <w:numId w:val="24"/>
        </w:numPr>
        <w:ind w:left="720" w:hanging="720"/>
        <w:jc w:val="both"/>
        <w:rPr>
          <w:rFonts w:ascii="Book Antiqua" w:hAnsi="Book Antiqua"/>
          <w:sz w:val="24"/>
          <w:szCs w:val="24"/>
        </w:rPr>
      </w:pPr>
      <w:r w:rsidRPr="009A2862">
        <w:rPr>
          <w:rFonts w:ascii="Book Antiqua" w:hAnsi="Book Antiqua"/>
          <w:sz w:val="24"/>
          <w:szCs w:val="24"/>
        </w:rPr>
        <w:t>If a document or part of a d</w:t>
      </w:r>
      <w:r w:rsidR="004E591C">
        <w:rPr>
          <w:rFonts w:ascii="Book Antiqua" w:hAnsi="Book Antiqua"/>
          <w:sz w:val="24"/>
          <w:szCs w:val="24"/>
        </w:rPr>
        <w:t xml:space="preserve">ocument is filed in RedCrest </w:t>
      </w:r>
      <w:r w:rsidRPr="009A2862">
        <w:rPr>
          <w:rFonts w:ascii="Book Antiqua" w:hAnsi="Book Antiqua"/>
          <w:sz w:val="24"/>
          <w:szCs w:val="24"/>
        </w:rPr>
        <w:t xml:space="preserve">in error, on notification made to the Court by any means (including by telephone or email to the Associate to the List Judge or Associate Judge who has been assigned to the </w:t>
      </w:r>
      <w:r w:rsidRPr="009A2862">
        <w:rPr>
          <w:rFonts w:ascii="Book Antiqua" w:hAnsi="Book Antiqua"/>
          <w:sz w:val="24"/>
          <w:szCs w:val="24"/>
        </w:rPr>
        <w:lastRenderedPageBreak/>
        <w:t xml:space="preserve">proceeding) and without prior notice to any other party, a Judge, Associate Judge or Judicial Registrar may direct that the document or part of the document be removed from the RedCrest </w:t>
      </w:r>
      <w:r w:rsidR="00EE22B7">
        <w:rPr>
          <w:rFonts w:ascii="Book Antiqua" w:hAnsi="Book Antiqua"/>
          <w:sz w:val="24"/>
          <w:szCs w:val="24"/>
        </w:rPr>
        <w:t>case page</w:t>
      </w:r>
      <w:r w:rsidRPr="009A2862">
        <w:rPr>
          <w:rFonts w:ascii="Book Antiqua" w:hAnsi="Book Antiqua"/>
          <w:sz w:val="24"/>
          <w:szCs w:val="24"/>
        </w:rPr>
        <w:t xml:space="preserve">. </w:t>
      </w:r>
      <w:r w:rsidR="008E7463">
        <w:rPr>
          <w:rFonts w:ascii="Book Antiqua" w:hAnsi="Book Antiqua"/>
          <w:sz w:val="24"/>
          <w:szCs w:val="24"/>
        </w:rPr>
        <w:t xml:space="preserve"> </w:t>
      </w:r>
      <w:r w:rsidRPr="009A2862">
        <w:rPr>
          <w:rFonts w:ascii="Book Antiqua" w:hAnsi="Book Antiqua"/>
          <w:sz w:val="24"/>
          <w:szCs w:val="24"/>
        </w:rPr>
        <w:t>A Judge’s Associate, the Prothonotary, Deputy Prothonotary or a Registry officer may then be directed to remove the erroneous document, or part of</w:t>
      </w:r>
      <w:r w:rsidR="00412AB7">
        <w:rPr>
          <w:rFonts w:ascii="Book Antiqua" w:hAnsi="Book Antiqua"/>
          <w:sz w:val="24"/>
          <w:szCs w:val="24"/>
        </w:rPr>
        <w:t>,</w:t>
      </w:r>
      <w:r w:rsidRPr="009A2862">
        <w:rPr>
          <w:rFonts w:ascii="Book Antiqua" w:hAnsi="Book Antiqua"/>
          <w:sz w:val="24"/>
          <w:szCs w:val="24"/>
        </w:rPr>
        <w:t xml:space="preserve"> the document from RedCrest.</w:t>
      </w:r>
    </w:p>
    <w:p w14:paraId="7B25D984" w14:textId="77777777" w:rsidR="00386D74" w:rsidRPr="00386D74" w:rsidRDefault="00386D74" w:rsidP="009A2862">
      <w:pPr>
        <w:pStyle w:val="ListParagraph"/>
        <w:spacing w:before="120" w:after="120"/>
        <w:jc w:val="both"/>
        <w:rPr>
          <w:rFonts w:ascii="Book Antiqua" w:hAnsi="Book Antiqua"/>
          <w:sz w:val="24"/>
          <w:szCs w:val="24"/>
        </w:rPr>
      </w:pPr>
    </w:p>
    <w:p w14:paraId="7B25D985" w14:textId="77777777" w:rsidR="00386D74" w:rsidRPr="007917BE" w:rsidRDefault="00E93767" w:rsidP="00386D74">
      <w:pPr>
        <w:pStyle w:val="Heading1"/>
        <w:spacing w:before="120" w:after="120"/>
        <w:rPr>
          <w:rFonts w:ascii="Book Antiqua" w:hAnsi="Book Antiqua"/>
          <w:szCs w:val="24"/>
        </w:rPr>
      </w:pPr>
      <w:r>
        <w:rPr>
          <w:rFonts w:ascii="Book Antiqua" w:hAnsi="Book Antiqua"/>
          <w:szCs w:val="24"/>
        </w:rPr>
        <w:t>OFFERS OF COMPROMISE</w:t>
      </w:r>
    </w:p>
    <w:p w14:paraId="7B25D986" w14:textId="77777777" w:rsidR="00E93767" w:rsidRPr="00E93767" w:rsidRDefault="00E93767" w:rsidP="00E93767">
      <w:pPr>
        <w:pStyle w:val="ListParagraph"/>
        <w:numPr>
          <w:ilvl w:val="1"/>
          <w:numId w:val="24"/>
        </w:numPr>
        <w:rPr>
          <w:rFonts w:ascii="Book Antiqua" w:hAnsi="Book Antiqua"/>
          <w:sz w:val="24"/>
          <w:szCs w:val="24"/>
        </w:rPr>
      </w:pPr>
      <w:r w:rsidRPr="00E93767">
        <w:rPr>
          <w:rFonts w:ascii="Book Antiqua" w:hAnsi="Book Antiqua"/>
          <w:sz w:val="24"/>
          <w:szCs w:val="24"/>
        </w:rPr>
        <w:t>Offers of compromise must not be filed in RedCrest.</w:t>
      </w:r>
    </w:p>
    <w:p w14:paraId="7B25D987" w14:textId="77777777" w:rsidR="00386D74" w:rsidRPr="00386D74" w:rsidRDefault="00386D74" w:rsidP="00E93767">
      <w:pPr>
        <w:pStyle w:val="ListParagraph"/>
        <w:spacing w:before="120" w:after="120"/>
        <w:jc w:val="both"/>
        <w:rPr>
          <w:rFonts w:ascii="Book Antiqua" w:hAnsi="Book Antiqua"/>
          <w:sz w:val="24"/>
          <w:szCs w:val="24"/>
        </w:rPr>
      </w:pPr>
    </w:p>
    <w:p w14:paraId="7B25D988" w14:textId="77777777" w:rsidR="00386D74" w:rsidRPr="007917BE" w:rsidRDefault="00E93767" w:rsidP="00386D74">
      <w:pPr>
        <w:pStyle w:val="Heading1"/>
        <w:spacing w:before="120" w:after="120"/>
        <w:rPr>
          <w:rFonts w:ascii="Book Antiqua" w:hAnsi="Book Antiqua"/>
          <w:szCs w:val="24"/>
        </w:rPr>
      </w:pPr>
      <w:r>
        <w:rPr>
          <w:rFonts w:ascii="Book Antiqua" w:hAnsi="Book Antiqua"/>
          <w:szCs w:val="24"/>
        </w:rPr>
        <w:t>IMPEDIMENTS TO FILING</w:t>
      </w:r>
    </w:p>
    <w:p w14:paraId="7B25D989" w14:textId="77777777" w:rsidR="00E93767" w:rsidRPr="00E93767" w:rsidRDefault="00E93767" w:rsidP="00F92097">
      <w:pPr>
        <w:pStyle w:val="ListParagraph"/>
        <w:numPr>
          <w:ilvl w:val="1"/>
          <w:numId w:val="24"/>
        </w:numPr>
        <w:spacing w:before="120" w:after="120"/>
        <w:ind w:left="709" w:hanging="709"/>
        <w:rPr>
          <w:rFonts w:ascii="Book Antiqua" w:hAnsi="Book Antiqua"/>
          <w:sz w:val="24"/>
          <w:szCs w:val="24"/>
        </w:rPr>
      </w:pPr>
      <w:r w:rsidRPr="00E93767">
        <w:rPr>
          <w:rFonts w:ascii="Book Antiqua" w:hAnsi="Book Antiqua"/>
          <w:sz w:val="24"/>
          <w:szCs w:val="24"/>
        </w:rPr>
        <w:t>Access to RedCrest and/or filing of a document may be impeded in circumstances where:</w:t>
      </w:r>
    </w:p>
    <w:p w14:paraId="7B25D98A" w14:textId="77777777" w:rsidR="00E93767" w:rsidRPr="00E93767" w:rsidRDefault="00E93767" w:rsidP="00F92097">
      <w:pPr>
        <w:pStyle w:val="ListParagraph"/>
        <w:numPr>
          <w:ilvl w:val="2"/>
          <w:numId w:val="24"/>
        </w:numPr>
        <w:spacing w:before="120" w:after="120"/>
        <w:ind w:left="1440"/>
        <w:rPr>
          <w:rFonts w:ascii="Book Antiqua" w:hAnsi="Book Antiqua"/>
          <w:sz w:val="24"/>
          <w:szCs w:val="24"/>
        </w:rPr>
      </w:pPr>
      <w:r w:rsidRPr="00E93767">
        <w:rPr>
          <w:rFonts w:ascii="Book Antiqua" w:hAnsi="Book Antiqua"/>
          <w:sz w:val="24"/>
          <w:szCs w:val="24"/>
        </w:rPr>
        <w:t xml:space="preserve">There is a planned outage to RedCrest e.g: the Court may be required to take RedCrest offline temporarily for scheduled maintenance; or </w:t>
      </w:r>
    </w:p>
    <w:p w14:paraId="7B25D98B" w14:textId="77777777" w:rsidR="00E93767" w:rsidRPr="00E93767" w:rsidRDefault="00E93767" w:rsidP="00F92097">
      <w:pPr>
        <w:pStyle w:val="ListParagraph"/>
        <w:numPr>
          <w:ilvl w:val="2"/>
          <w:numId w:val="24"/>
        </w:numPr>
        <w:spacing w:before="120" w:after="120"/>
        <w:ind w:left="1440"/>
        <w:rPr>
          <w:rFonts w:ascii="Book Antiqua" w:hAnsi="Book Antiqua"/>
          <w:sz w:val="24"/>
          <w:szCs w:val="24"/>
        </w:rPr>
      </w:pPr>
      <w:r w:rsidRPr="00E93767">
        <w:rPr>
          <w:rFonts w:ascii="Book Antiqua" w:hAnsi="Book Antiqua"/>
          <w:sz w:val="24"/>
          <w:szCs w:val="24"/>
        </w:rPr>
        <w:t xml:space="preserve">There is an unplanned outage to RedCrest e.g: RedCrest may become unavailable due to an incident beyond the control of the Court (such as host server failure); or </w:t>
      </w:r>
    </w:p>
    <w:p w14:paraId="7B25D98C" w14:textId="77777777" w:rsidR="00E93767" w:rsidRPr="00E93767" w:rsidRDefault="00E93767" w:rsidP="00F92097">
      <w:pPr>
        <w:pStyle w:val="ListParagraph"/>
        <w:numPr>
          <w:ilvl w:val="2"/>
          <w:numId w:val="24"/>
        </w:numPr>
        <w:spacing w:before="120" w:after="120"/>
        <w:ind w:left="1440"/>
        <w:rPr>
          <w:rFonts w:ascii="Book Antiqua" w:hAnsi="Book Antiqua"/>
          <w:sz w:val="24"/>
          <w:szCs w:val="24"/>
        </w:rPr>
      </w:pPr>
      <w:r w:rsidRPr="00E93767">
        <w:rPr>
          <w:rFonts w:ascii="Book Antiqua" w:hAnsi="Book Antiqua"/>
          <w:sz w:val="24"/>
          <w:szCs w:val="24"/>
        </w:rPr>
        <w:t xml:space="preserve">A system error occurs during attempts by a practitioner to file or make a payment which results in an inability to successfully file a particular document and/or the unsuccessful processing of a specific payment. </w:t>
      </w:r>
    </w:p>
    <w:p w14:paraId="7B25D98D" w14:textId="77777777" w:rsidR="00E93767" w:rsidRPr="00E93767" w:rsidRDefault="00E93767" w:rsidP="00F92097">
      <w:pPr>
        <w:pStyle w:val="ListParagraph"/>
        <w:numPr>
          <w:ilvl w:val="1"/>
          <w:numId w:val="24"/>
        </w:numPr>
        <w:spacing w:before="120" w:after="120"/>
        <w:ind w:left="720" w:hanging="720"/>
        <w:rPr>
          <w:rFonts w:ascii="Book Antiqua" w:hAnsi="Book Antiqua"/>
          <w:sz w:val="24"/>
          <w:szCs w:val="24"/>
        </w:rPr>
      </w:pPr>
      <w:r w:rsidRPr="00E93767">
        <w:rPr>
          <w:rFonts w:ascii="Book Antiqua" w:hAnsi="Book Antiqua"/>
          <w:sz w:val="24"/>
          <w:szCs w:val="24"/>
        </w:rPr>
        <w:t>A practitioner who is experiencing difficulties in filing a document or initiating proceedings on RedCrest within business hours should refer their inquiries in the first instance to the Commercial Court Registry on (03) 9603 6042.</w:t>
      </w:r>
    </w:p>
    <w:p w14:paraId="7B25D98E" w14:textId="77777777" w:rsidR="00E93767" w:rsidRDefault="00E93767" w:rsidP="00F92097">
      <w:pPr>
        <w:pStyle w:val="ListParagraph"/>
        <w:numPr>
          <w:ilvl w:val="1"/>
          <w:numId w:val="24"/>
        </w:numPr>
        <w:spacing w:before="120" w:after="120"/>
        <w:ind w:left="720" w:hanging="720"/>
        <w:rPr>
          <w:rFonts w:ascii="Book Antiqua" w:hAnsi="Book Antiqua"/>
          <w:sz w:val="24"/>
          <w:szCs w:val="24"/>
        </w:rPr>
      </w:pPr>
      <w:r w:rsidRPr="00E93767">
        <w:rPr>
          <w:rFonts w:ascii="Book Antiqua" w:hAnsi="Book Antiqua"/>
          <w:sz w:val="24"/>
          <w:szCs w:val="24"/>
        </w:rPr>
        <w:t>Where practitioner</w:t>
      </w:r>
      <w:r w:rsidR="00656BD2">
        <w:rPr>
          <w:rFonts w:ascii="Book Antiqua" w:hAnsi="Book Antiqua"/>
          <w:sz w:val="24"/>
          <w:szCs w:val="24"/>
        </w:rPr>
        <w:t>s</w:t>
      </w:r>
      <w:r w:rsidRPr="00E93767">
        <w:rPr>
          <w:rFonts w:ascii="Book Antiqua" w:hAnsi="Book Antiqua"/>
          <w:sz w:val="24"/>
          <w:szCs w:val="24"/>
        </w:rPr>
        <w:t xml:space="preserve"> </w:t>
      </w:r>
      <w:r w:rsidR="00656BD2">
        <w:rPr>
          <w:rFonts w:ascii="Book Antiqua" w:hAnsi="Book Antiqua"/>
          <w:sz w:val="24"/>
          <w:szCs w:val="24"/>
        </w:rPr>
        <w:t>are</w:t>
      </w:r>
      <w:r w:rsidRPr="00E93767">
        <w:rPr>
          <w:rFonts w:ascii="Book Antiqua" w:hAnsi="Book Antiqua"/>
          <w:sz w:val="24"/>
          <w:szCs w:val="24"/>
        </w:rPr>
        <w:t xml:space="preserve"> unable to file due to outage or system failure, they are referred to the </w:t>
      </w:r>
      <w:r w:rsidR="00786E34">
        <w:rPr>
          <w:rFonts w:ascii="Book Antiqua" w:hAnsi="Book Antiqua"/>
          <w:sz w:val="24"/>
          <w:szCs w:val="24"/>
        </w:rPr>
        <w:t>i</w:t>
      </w:r>
      <w:r w:rsidR="00786E34" w:rsidRPr="00E93767">
        <w:rPr>
          <w:rFonts w:ascii="Book Antiqua" w:hAnsi="Book Antiqua"/>
          <w:sz w:val="24"/>
          <w:szCs w:val="24"/>
        </w:rPr>
        <w:t xml:space="preserve">mpediment </w:t>
      </w:r>
      <w:r w:rsidR="00786E34">
        <w:rPr>
          <w:rFonts w:ascii="Book Antiqua" w:hAnsi="Book Antiqua"/>
          <w:sz w:val="24"/>
          <w:szCs w:val="24"/>
        </w:rPr>
        <w:t>r</w:t>
      </w:r>
      <w:r w:rsidR="00786E34" w:rsidRPr="00E93767">
        <w:rPr>
          <w:rFonts w:ascii="Book Antiqua" w:hAnsi="Book Antiqua"/>
          <w:sz w:val="24"/>
          <w:szCs w:val="24"/>
        </w:rPr>
        <w:t xml:space="preserve">ule </w:t>
      </w:r>
      <w:r w:rsidRPr="00E93767">
        <w:rPr>
          <w:rFonts w:ascii="Book Antiqua" w:hAnsi="Book Antiqua"/>
          <w:sz w:val="24"/>
          <w:szCs w:val="24"/>
        </w:rPr>
        <w:t xml:space="preserve">contained in </w:t>
      </w:r>
      <w:r w:rsidR="00C228B1">
        <w:rPr>
          <w:rFonts w:ascii="Book Antiqua" w:hAnsi="Book Antiqua"/>
          <w:sz w:val="24"/>
          <w:szCs w:val="24"/>
        </w:rPr>
        <w:t xml:space="preserve">rule </w:t>
      </w:r>
      <w:r w:rsidRPr="00E93767">
        <w:rPr>
          <w:rFonts w:ascii="Book Antiqua" w:hAnsi="Book Antiqua"/>
          <w:sz w:val="24"/>
          <w:szCs w:val="24"/>
        </w:rPr>
        <w:t>28A</w:t>
      </w:r>
      <w:r w:rsidR="004C6308">
        <w:rPr>
          <w:rFonts w:ascii="Book Antiqua" w:hAnsi="Book Antiqua"/>
          <w:sz w:val="24"/>
          <w:szCs w:val="24"/>
        </w:rPr>
        <w:t>.04</w:t>
      </w:r>
      <w:r w:rsidRPr="00E93767">
        <w:rPr>
          <w:rFonts w:ascii="Book Antiqua" w:hAnsi="Book Antiqua"/>
          <w:sz w:val="24"/>
          <w:szCs w:val="24"/>
        </w:rPr>
        <w:t>(8) of the RedCrest Rules</w:t>
      </w:r>
      <w:r w:rsidR="00656BD2">
        <w:rPr>
          <w:rFonts w:ascii="Book Antiqua" w:hAnsi="Book Antiqua"/>
          <w:sz w:val="24"/>
          <w:szCs w:val="24"/>
        </w:rPr>
        <w:t>,</w:t>
      </w:r>
      <w:r w:rsidRPr="00E93767">
        <w:rPr>
          <w:rFonts w:ascii="Book Antiqua" w:hAnsi="Book Antiqua"/>
          <w:sz w:val="24"/>
          <w:szCs w:val="24"/>
        </w:rPr>
        <w:t xml:space="preserve"> which provides that</w:t>
      </w:r>
      <w:r w:rsidR="006941A9">
        <w:rPr>
          <w:rFonts w:ascii="Book Antiqua" w:hAnsi="Book Antiqua"/>
          <w:sz w:val="24"/>
          <w:szCs w:val="24"/>
        </w:rPr>
        <w:t>,</w:t>
      </w:r>
      <w:r w:rsidRPr="00E93767">
        <w:rPr>
          <w:rFonts w:ascii="Book Antiqua" w:hAnsi="Book Antiqua"/>
          <w:sz w:val="24"/>
          <w:szCs w:val="24"/>
        </w:rPr>
        <w:t xml:space="preserve"> if there is an impediment affecting </w:t>
      </w:r>
      <w:r w:rsidR="00656BD2">
        <w:rPr>
          <w:rFonts w:ascii="Book Antiqua" w:hAnsi="Book Antiqua"/>
          <w:sz w:val="24"/>
          <w:szCs w:val="24"/>
        </w:rPr>
        <w:t xml:space="preserve">RedCrest itself </w:t>
      </w:r>
      <w:r w:rsidR="00656BD2">
        <w:rPr>
          <w:rFonts w:ascii="Book Antiqua" w:hAnsi="Book Antiqua"/>
          <w:sz w:val="24"/>
          <w:szCs w:val="24"/>
        </w:rPr>
        <w:lastRenderedPageBreak/>
        <w:t>or</w:t>
      </w:r>
      <w:r w:rsidRPr="00E93767">
        <w:rPr>
          <w:rFonts w:ascii="Book Antiqua" w:hAnsi="Book Antiqua"/>
          <w:sz w:val="24"/>
          <w:szCs w:val="24"/>
        </w:rPr>
        <w:t xml:space="preserve"> general access to RedCrest, the parties may file the document</w:t>
      </w:r>
      <w:r w:rsidR="00656BD2">
        <w:rPr>
          <w:rFonts w:ascii="Book Antiqua" w:hAnsi="Book Antiqua"/>
          <w:sz w:val="24"/>
          <w:szCs w:val="24"/>
        </w:rPr>
        <w:t>(s)</w:t>
      </w:r>
      <w:r w:rsidRPr="00E93767">
        <w:rPr>
          <w:rFonts w:ascii="Book Antiqua" w:hAnsi="Book Antiqua"/>
          <w:sz w:val="24"/>
          <w:szCs w:val="24"/>
        </w:rPr>
        <w:t xml:space="preserve"> with the Prothonotary in any form the Prothonotary may allow.</w:t>
      </w:r>
    </w:p>
    <w:p w14:paraId="7B25D98F" w14:textId="77777777" w:rsidR="00D83D19" w:rsidRDefault="00D83D19" w:rsidP="00D83D19">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For the purpose of the </w:t>
      </w:r>
      <w:r w:rsidR="00786E34">
        <w:rPr>
          <w:rFonts w:ascii="Book Antiqua" w:hAnsi="Book Antiqua"/>
          <w:sz w:val="24"/>
          <w:szCs w:val="24"/>
        </w:rPr>
        <w:t>i</w:t>
      </w:r>
      <w:r>
        <w:rPr>
          <w:rFonts w:ascii="Book Antiqua" w:hAnsi="Book Antiqua"/>
          <w:sz w:val="24"/>
          <w:szCs w:val="24"/>
        </w:rPr>
        <w:t xml:space="preserve">mpediment </w:t>
      </w:r>
      <w:r w:rsidR="00786E34">
        <w:rPr>
          <w:rFonts w:ascii="Book Antiqua" w:hAnsi="Book Antiqua"/>
          <w:sz w:val="24"/>
          <w:szCs w:val="24"/>
        </w:rPr>
        <w:t>r</w:t>
      </w:r>
      <w:r>
        <w:rPr>
          <w:rFonts w:ascii="Book Antiqua" w:hAnsi="Book Antiqua"/>
          <w:sz w:val="24"/>
          <w:szCs w:val="24"/>
        </w:rPr>
        <w:t xml:space="preserve">ule in </w:t>
      </w:r>
      <w:r w:rsidR="00C228B1">
        <w:rPr>
          <w:rFonts w:ascii="Book Antiqua" w:hAnsi="Book Antiqua"/>
          <w:sz w:val="24"/>
          <w:szCs w:val="24"/>
        </w:rPr>
        <w:t>rule</w:t>
      </w:r>
      <w:r w:rsidRPr="00E93767">
        <w:rPr>
          <w:rFonts w:ascii="Book Antiqua" w:hAnsi="Book Antiqua"/>
          <w:sz w:val="24"/>
          <w:szCs w:val="24"/>
        </w:rPr>
        <w:t xml:space="preserve"> 28A</w:t>
      </w:r>
      <w:r>
        <w:rPr>
          <w:rFonts w:ascii="Book Antiqua" w:hAnsi="Book Antiqua"/>
          <w:sz w:val="24"/>
          <w:szCs w:val="24"/>
        </w:rPr>
        <w:t>.04</w:t>
      </w:r>
      <w:r w:rsidRPr="00E93767">
        <w:rPr>
          <w:rFonts w:ascii="Book Antiqua" w:hAnsi="Book Antiqua"/>
          <w:sz w:val="24"/>
          <w:szCs w:val="24"/>
        </w:rPr>
        <w:t>(8)</w:t>
      </w:r>
      <w:r>
        <w:rPr>
          <w:rFonts w:ascii="Book Antiqua" w:hAnsi="Book Antiqua"/>
          <w:sz w:val="24"/>
          <w:szCs w:val="24"/>
        </w:rPr>
        <w:t xml:space="preserve">, practitioners are informed that the Prothonotary has issued a </w:t>
      </w:r>
      <w:r w:rsidR="00656BD2">
        <w:rPr>
          <w:rFonts w:ascii="Book Antiqua" w:hAnsi="Book Antiqua"/>
          <w:sz w:val="24"/>
          <w:szCs w:val="24"/>
        </w:rPr>
        <w:t>n</w:t>
      </w:r>
      <w:r>
        <w:rPr>
          <w:rFonts w:ascii="Book Antiqua" w:hAnsi="Book Antiqua"/>
          <w:sz w:val="24"/>
          <w:szCs w:val="24"/>
        </w:rPr>
        <w:t>otice</w:t>
      </w:r>
      <w:r w:rsidR="00D3326E">
        <w:rPr>
          <w:rFonts w:ascii="Book Antiqua" w:hAnsi="Book Antiqua"/>
          <w:sz w:val="24"/>
          <w:szCs w:val="24"/>
        </w:rPr>
        <w:t xml:space="preserve"> that,</w:t>
      </w:r>
      <w:r>
        <w:rPr>
          <w:rFonts w:ascii="Book Antiqua" w:hAnsi="Book Antiqua"/>
          <w:sz w:val="24"/>
          <w:szCs w:val="24"/>
        </w:rPr>
        <w:t xml:space="preserve"> where </w:t>
      </w:r>
      <w:r w:rsidR="00423827">
        <w:rPr>
          <w:rFonts w:ascii="Book Antiqua" w:hAnsi="Book Antiqua"/>
          <w:sz w:val="24"/>
          <w:szCs w:val="24"/>
        </w:rPr>
        <w:t>a document cannot be filed in RedCrest in a proceeding because of</w:t>
      </w:r>
      <w:r w:rsidR="00423827" w:rsidRPr="00687AF5">
        <w:rPr>
          <w:rFonts w:ascii="Book Antiqua" w:hAnsi="Book Antiqua"/>
          <w:sz w:val="24"/>
          <w:szCs w:val="24"/>
        </w:rPr>
        <w:t xml:space="preserve"> an impediment affecting RedCrest </w:t>
      </w:r>
      <w:r w:rsidR="00423827">
        <w:rPr>
          <w:rFonts w:ascii="Book Antiqua" w:hAnsi="Book Antiqua"/>
          <w:sz w:val="24"/>
          <w:szCs w:val="24"/>
        </w:rPr>
        <w:t>itself or affecting general access to RedCrest</w:t>
      </w:r>
      <w:r>
        <w:rPr>
          <w:rFonts w:ascii="Book Antiqua" w:hAnsi="Book Antiqua"/>
          <w:sz w:val="24"/>
          <w:szCs w:val="24"/>
        </w:rPr>
        <w:t xml:space="preserve">: </w:t>
      </w:r>
    </w:p>
    <w:p w14:paraId="7B25D990" w14:textId="77777777" w:rsidR="00D83D19" w:rsidRPr="00AD1561" w:rsidRDefault="00D83D19" w:rsidP="00D83D19">
      <w:pPr>
        <w:pStyle w:val="ListParagraph"/>
        <w:numPr>
          <w:ilvl w:val="2"/>
          <w:numId w:val="24"/>
        </w:numPr>
        <w:spacing w:before="120" w:after="120"/>
        <w:ind w:left="1440"/>
        <w:rPr>
          <w:rStyle w:val="Hyperlink"/>
          <w:rFonts w:ascii="Book Antiqua" w:hAnsi="Book Antiqua"/>
          <w:color w:val="auto"/>
          <w:sz w:val="24"/>
          <w:szCs w:val="24"/>
          <w:u w:val="none"/>
        </w:rPr>
      </w:pPr>
      <w:r>
        <w:rPr>
          <w:rFonts w:ascii="Book Antiqua" w:hAnsi="Book Antiqua"/>
          <w:sz w:val="24"/>
          <w:szCs w:val="24"/>
        </w:rPr>
        <w:t xml:space="preserve">the Prothonotary allows documents to be filed by being lodged </w:t>
      </w:r>
      <w:r w:rsidR="006941A9">
        <w:rPr>
          <w:rFonts w:ascii="Book Antiqua" w:hAnsi="Book Antiqua"/>
          <w:sz w:val="24"/>
          <w:szCs w:val="24"/>
        </w:rPr>
        <w:t>with the Pr</w:t>
      </w:r>
      <w:r w:rsidR="001F3A25">
        <w:rPr>
          <w:rFonts w:ascii="Book Antiqua" w:hAnsi="Book Antiqua"/>
          <w:sz w:val="24"/>
          <w:szCs w:val="24"/>
        </w:rPr>
        <w:t>othonotary</w:t>
      </w:r>
      <w:r w:rsidR="006941A9">
        <w:rPr>
          <w:rFonts w:ascii="Book Antiqua" w:hAnsi="Book Antiqua"/>
          <w:sz w:val="24"/>
          <w:szCs w:val="24"/>
        </w:rPr>
        <w:t xml:space="preserve"> </w:t>
      </w:r>
      <w:r>
        <w:rPr>
          <w:rFonts w:ascii="Book Antiqua" w:hAnsi="Book Antiqua"/>
          <w:sz w:val="24"/>
          <w:szCs w:val="24"/>
        </w:rPr>
        <w:t>via</w:t>
      </w:r>
      <w:r w:rsidRPr="00E93767">
        <w:rPr>
          <w:rFonts w:ascii="Book Antiqua" w:hAnsi="Book Antiqua"/>
          <w:sz w:val="24"/>
          <w:szCs w:val="24"/>
        </w:rPr>
        <w:t xml:space="preserve"> email </w:t>
      </w:r>
      <w:r>
        <w:rPr>
          <w:rFonts w:ascii="Book Antiqua" w:hAnsi="Book Antiqua"/>
          <w:sz w:val="24"/>
          <w:szCs w:val="24"/>
        </w:rPr>
        <w:t xml:space="preserve">to </w:t>
      </w:r>
      <w:r w:rsidRPr="00E93767">
        <w:rPr>
          <w:rFonts w:ascii="Book Antiqua" w:hAnsi="Book Antiqua"/>
          <w:sz w:val="24"/>
          <w:szCs w:val="24"/>
        </w:rPr>
        <w:t xml:space="preserve">the Commercial Court Registry at </w:t>
      </w:r>
      <w:hyperlink r:id="rId19" w:history="1">
        <w:r w:rsidRPr="00724292">
          <w:rPr>
            <w:rStyle w:val="Hyperlink"/>
            <w:rFonts w:ascii="Book Antiqua" w:hAnsi="Book Antiqua"/>
            <w:sz w:val="24"/>
            <w:szCs w:val="24"/>
          </w:rPr>
          <w:t>redcrest@supcourt.vic.gov.au</w:t>
        </w:r>
      </w:hyperlink>
      <w:r w:rsidRPr="00BA38D4">
        <w:rPr>
          <w:rFonts w:ascii="Book Antiqua" w:hAnsi="Book Antiqua"/>
          <w:sz w:val="24"/>
          <w:szCs w:val="24"/>
        </w:rPr>
        <w:t>; and</w:t>
      </w:r>
    </w:p>
    <w:p w14:paraId="7B25D991" w14:textId="77777777" w:rsidR="00D83D19" w:rsidRPr="009369CD" w:rsidRDefault="000D660C" w:rsidP="009369CD">
      <w:pPr>
        <w:pStyle w:val="ListParagraph"/>
        <w:numPr>
          <w:ilvl w:val="2"/>
          <w:numId w:val="24"/>
        </w:numPr>
        <w:spacing w:before="120" w:after="120"/>
        <w:ind w:left="1440"/>
        <w:rPr>
          <w:rFonts w:ascii="Book Antiqua" w:hAnsi="Book Antiqua"/>
          <w:sz w:val="24"/>
          <w:szCs w:val="24"/>
        </w:rPr>
      </w:pPr>
      <w:r>
        <w:rPr>
          <w:rFonts w:ascii="Book Antiqua" w:hAnsi="Book Antiqua"/>
          <w:sz w:val="24"/>
          <w:szCs w:val="24"/>
        </w:rPr>
        <w:t xml:space="preserve">any </w:t>
      </w:r>
      <w:r w:rsidR="00D83D19">
        <w:rPr>
          <w:rFonts w:ascii="Book Antiqua" w:hAnsi="Book Antiqua"/>
          <w:sz w:val="24"/>
          <w:szCs w:val="24"/>
        </w:rPr>
        <w:t xml:space="preserve">such </w:t>
      </w:r>
      <w:r w:rsidR="00D83D19" w:rsidRPr="00AD1561">
        <w:rPr>
          <w:rFonts w:ascii="Book Antiqua" w:hAnsi="Book Antiqua"/>
          <w:sz w:val="24"/>
          <w:szCs w:val="24"/>
        </w:rPr>
        <w:t xml:space="preserve">email </w:t>
      </w:r>
      <w:r w:rsidR="00423827">
        <w:rPr>
          <w:rFonts w:ascii="Book Antiqua" w:hAnsi="Book Antiqua"/>
          <w:sz w:val="24"/>
          <w:szCs w:val="24"/>
        </w:rPr>
        <w:t xml:space="preserve">must attach the document or documents, and should </w:t>
      </w:r>
      <w:r w:rsidR="00DD3645">
        <w:rPr>
          <w:rFonts w:ascii="Book Antiqua" w:hAnsi="Book Antiqua"/>
          <w:sz w:val="24"/>
          <w:szCs w:val="24"/>
        </w:rPr>
        <w:t xml:space="preserve">briefly </w:t>
      </w:r>
      <w:r w:rsidR="00D83D19">
        <w:rPr>
          <w:rFonts w:ascii="Book Antiqua" w:hAnsi="Book Antiqua"/>
          <w:sz w:val="24"/>
          <w:szCs w:val="24"/>
        </w:rPr>
        <w:t xml:space="preserve">describe the impediment and </w:t>
      </w:r>
      <w:r w:rsidR="00485544">
        <w:rPr>
          <w:rFonts w:ascii="Book Antiqua" w:hAnsi="Book Antiqua"/>
          <w:sz w:val="24"/>
          <w:szCs w:val="24"/>
        </w:rPr>
        <w:t>state</w:t>
      </w:r>
      <w:r w:rsidR="00D83D19" w:rsidRPr="00AD1561">
        <w:rPr>
          <w:rFonts w:ascii="Book Antiqua" w:hAnsi="Book Antiqua"/>
          <w:sz w:val="24"/>
          <w:szCs w:val="24"/>
        </w:rPr>
        <w:t xml:space="preserve"> the </w:t>
      </w:r>
      <w:r w:rsidR="00DD3645">
        <w:rPr>
          <w:rFonts w:ascii="Book Antiqua" w:hAnsi="Book Antiqua"/>
          <w:sz w:val="24"/>
          <w:szCs w:val="24"/>
        </w:rPr>
        <w:t xml:space="preserve">relevant </w:t>
      </w:r>
      <w:r w:rsidR="00D83D19" w:rsidRPr="00AD1561">
        <w:rPr>
          <w:rFonts w:ascii="Book Antiqua" w:hAnsi="Book Antiqua"/>
          <w:sz w:val="24"/>
          <w:szCs w:val="24"/>
        </w:rPr>
        <w:t xml:space="preserve">time the impediment occurred. </w:t>
      </w:r>
    </w:p>
    <w:p w14:paraId="7B25D992" w14:textId="77777777" w:rsidR="001440CE" w:rsidRPr="001440CE" w:rsidRDefault="001440CE" w:rsidP="001440CE">
      <w:pPr>
        <w:pStyle w:val="ListParagraph"/>
        <w:spacing w:before="120" w:after="120"/>
        <w:jc w:val="both"/>
        <w:rPr>
          <w:rFonts w:ascii="Book Antiqua" w:hAnsi="Book Antiqua"/>
          <w:sz w:val="24"/>
          <w:szCs w:val="24"/>
        </w:rPr>
      </w:pPr>
    </w:p>
    <w:p w14:paraId="7B25D993" w14:textId="77777777" w:rsidR="00386D74" w:rsidRPr="007917BE" w:rsidRDefault="00E93767" w:rsidP="00386D74">
      <w:pPr>
        <w:pStyle w:val="Heading1"/>
        <w:spacing w:before="120" w:after="120"/>
        <w:rPr>
          <w:rFonts w:ascii="Book Antiqua" w:hAnsi="Book Antiqua"/>
          <w:szCs w:val="24"/>
        </w:rPr>
      </w:pPr>
      <w:r>
        <w:rPr>
          <w:rFonts w:ascii="Book Antiqua" w:hAnsi="Book Antiqua"/>
          <w:szCs w:val="24"/>
        </w:rPr>
        <w:t>PERMITTED FILING FORMATS</w:t>
      </w:r>
    </w:p>
    <w:p w14:paraId="7B25D994" w14:textId="77777777" w:rsidR="00831C4E" w:rsidRDefault="00FA661F" w:rsidP="00E93767">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All documents filed i</w:t>
      </w:r>
      <w:r w:rsidR="00E93767" w:rsidRPr="0083502F">
        <w:rPr>
          <w:rFonts w:ascii="Book Antiqua" w:hAnsi="Book Antiqua"/>
          <w:sz w:val="24"/>
          <w:szCs w:val="24"/>
        </w:rPr>
        <w:t>n RedCrest must be in</w:t>
      </w:r>
      <w:r w:rsidR="00266374">
        <w:rPr>
          <w:rFonts w:ascii="Book Antiqua" w:hAnsi="Book Antiqua"/>
          <w:sz w:val="24"/>
          <w:szCs w:val="24"/>
        </w:rPr>
        <w:t xml:space="preserve"> PDF</w:t>
      </w:r>
      <w:r w:rsidR="00E93767" w:rsidRPr="0083502F">
        <w:rPr>
          <w:rFonts w:ascii="Book Antiqua" w:hAnsi="Book Antiqua"/>
          <w:sz w:val="24"/>
          <w:szCs w:val="24"/>
        </w:rPr>
        <w:t xml:space="preserve"> format</w:t>
      </w:r>
      <w:r w:rsidR="00A43277">
        <w:rPr>
          <w:rFonts w:ascii="Book Antiqua" w:hAnsi="Book Antiqua"/>
          <w:sz w:val="24"/>
          <w:szCs w:val="24"/>
        </w:rPr>
        <w:t xml:space="preserve">.  </w:t>
      </w:r>
    </w:p>
    <w:p w14:paraId="7B25D995" w14:textId="77777777" w:rsidR="00EB197A" w:rsidRDefault="00A43277" w:rsidP="00E93767">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It is preferable</w:t>
      </w:r>
      <w:r w:rsidR="0089599C">
        <w:rPr>
          <w:rFonts w:ascii="Book Antiqua" w:hAnsi="Book Antiqua"/>
          <w:sz w:val="24"/>
          <w:szCs w:val="24"/>
        </w:rPr>
        <w:t xml:space="preserve"> that</w:t>
      </w:r>
      <w:r w:rsidR="00831C4E">
        <w:rPr>
          <w:rFonts w:ascii="Book Antiqua" w:hAnsi="Book Antiqua"/>
          <w:sz w:val="24"/>
          <w:szCs w:val="24"/>
        </w:rPr>
        <w:t xml:space="preserve"> a</w:t>
      </w:r>
      <w:r w:rsidR="00831C4E" w:rsidRPr="0083502F">
        <w:rPr>
          <w:rFonts w:ascii="Book Antiqua" w:hAnsi="Book Antiqua"/>
          <w:sz w:val="24"/>
          <w:szCs w:val="24"/>
        </w:rPr>
        <w:t>ll Court documents</w:t>
      </w:r>
      <w:r w:rsidR="00831C4E">
        <w:rPr>
          <w:rFonts w:ascii="Book Antiqua" w:hAnsi="Book Antiqua"/>
          <w:sz w:val="24"/>
          <w:szCs w:val="24"/>
        </w:rPr>
        <w:t xml:space="preserve"> </w:t>
      </w:r>
      <w:r w:rsidR="00831C4E" w:rsidRPr="0083502F">
        <w:rPr>
          <w:rFonts w:ascii="Book Antiqua" w:hAnsi="Book Antiqua"/>
          <w:sz w:val="24"/>
          <w:szCs w:val="24"/>
        </w:rPr>
        <w:t xml:space="preserve">which are specifically prepared for a proceeding (eg. Pleadings, Witness Statements, Affidavits, Submissions and all Court documents as listed the RedCrest Document Naming Protocol which is available on the RedCrest webpage at </w:t>
      </w:r>
      <w:hyperlink r:id="rId20" w:history="1">
        <w:r w:rsidR="00831C4E" w:rsidRPr="0083502F">
          <w:rPr>
            <w:rStyle w:val="Hyperlink"/>
            <w:rFonts w:ascii="Book Antiqua" w:hAnsi="Book Antiqua"/>
            <w:sz w:val="24"/>
            <w:szCs w:val="24"/>
          </w:rPr>
          <w:t>www.redcrest.com.au</w:t>
        </w:r>
      </w:hyperlink>
      <w:r w:rsidR="00831C4E" w:rsidRPr="0083502F">
        <w:rPr>
          <w:rFonts w:ascii="Book Antiqua" w:hAnsi="Book Antiqua"/>
          <w:sz w:val="24"/>
          <w:szCs w:val="24"/>
        </w:rPr>
        <w:t xml:space="preserve">) </w:t>
      </w:r>
      <w:r>
        <w:rPr>
          <w:rFonts w:ascii="Book Antiqua" w:hAnsi="Book Antiqua"/>
          <w:sz w:val="24"/>
          <w:szCs w:val="24"/>
        </w:rPr>
        <w:t xml:space="preserve">are filed in </w:t>
      </w:r>
      <w:r w:rsidRPr="00FE2932">
        <w:rPr>
          <w:rFonts w:ascii="Book Antiqua" w:hAnsi="Book Antiqua"/>
          <w:b/>
          <w:sz w:val="24"/>
          <w:szCs w:val="24"/>
        </w:rPr>
        <w:t>text searchable</w:t>
      </w:r>
      <w:r>
        <w:rPr>
          <w:rFonts w:ascii="Book Antiqua" w:hAnsi="Book Antiqua"/>
          <w:sz w:val="24"/>
          <w:szCs w:val="24"/>
        </w:rPr>
        <w:t xml:space="preserve"> </w:t>
      </w:r>
      <w:r w:rsidRPr="00CF1531">
        <w:rPr>
          <w:rFonts w:ascii="Book Antiqua" w:hAnsi="Book Antiqua"/>
          <w:sz w:val="24"/>
          <w:szCs w:val="24"/>
        </w:rPr>
        <w:t>PDF format.</w:t>
      </w:r>
    </w:p>
    <w:p w14:paraId="7B25D996" w14:textId="77777777" w:rsidR="00386D74" w:rsidRPr="00386D74" w:rsidRDefault="00386D74" w:rsidP="00E93767">
      <w:pPr>
        <w:pStyle w:val="ListParagraph"/>
        <w:spacing w:before="120" w:after="120"/>
        <w:ind w:left="360"/>
        <w:jc w:val="both"/>
        <w:rPr>
          <w:rFonts w:ascii="Book Antiqua" w:hAnsi="Book Antiqua"/>
          <w:sz w:val="24"/>
          <w:szCs w:val="24"/>
        </w:rPr>
      </w:pPr>
    </w:p>
    <w:p w14:paraId="7B25D997" w14:textId="77777777" w:rsidR="00386D74" w:rsidRPr="007917BE" w:rsidRDefault="00E93767" w:rsidP="00386D74">
      <w:pPr>
        <w:pStyle w:val="Heading1"/>
        <w:spacing w:before="120" w:after="120"/>
        <w:rPr>
          <w:rFonts w:ascii="Book Antiqua" w:hAnsi="Book Antiqua"/>
          <w:szCs w:val="24"/>
        </w:rPr>
      </w:pPr>
      <w:r>
        <w:rPr>
          <w:rFonts w:ascii="Book Antiqua" w:hAnsi="Book Antiqua"/>
          <w:szCs w:val="24"/>
        </w:rPr>
        <w:t>FILING EXHIBITS TO AFFIDAVITS</w:t>
      </w:r>
    </w:p>
    <w:p w14:paraId="5FE4642C" w14:textId="4FE53A5E" w:rsidR="0085374C" w:rsidRDefault="0085374C" w:rsidP="00E93767">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Exhibits to Affidavits must be filed </w:t>
      </w:r>
      <w:r w:rsidR="00757F1E">
        <w:rPr>
          <w:rFonts w:ascii="Book Antiqua" w:hAnsi="Book Antiqua"/>
          <w:sz w:val="24"/>
          <w:szCs w:val="24"/>
        </w:rPr>
        <w:t>as a separate document</w:t>
      </w:r>
      <w:r>
        <w:rPr>
          <w:rFonts w:ascii="Book Antiqua" w:hAnsi="Book Antiqua"/>
          <w:sz w:val="24"/>
          <w:szCs w:val="24"/>
        </w:rPr>
        <w:t xml:space="preserve"> to the Affidavit. </w:t>
      </w:r>
    </w:p>
    <w:p w14:paraId="7B25D998"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lastRenderedPageBreak/>
        <w:t>Exhibits to Affidavits must be paginated and, where possible, shall be contained in a single file for upload, named in accordance with the RedCrest Document Naming Protocol (eg</w:t>
      </w:r>
      <w:r w:rsidR="00043BEB">
        <w:rPr>
          <w:rFonts w:ascii="Book Antiqua" w:hAnsi="Book Antiqua"/>
          <w:sz w:val="24"/>
          <w:szCs w:val="24"/>
        </w:rPr>
        <w:t>.</w:t>
      </w:r>
      <w:r w:rsidRPr="00E93767">
        <w:rPr>
          <w:rFonts w:ascii="Book Antiqua" w:hAnsi="Book Antiqua"/>
          <w:sz w:val="24"/>
          <w:szCs w:val="24"/>
        </w:rPr>
        <w:t xml:space="preserve"> ‘Exhibits 1-5 to the Affidavit of [name] sworn/affirmed on [date] filed on behalf of [party]’).</w:t>
      </w:r>
    </w:p>
    <w:p w14:paraId="7B25D999" w14:textId="77777777" w:rsidR="00386D74" w:rsidRPr="008C4591" w:rsidRDefault="00E93767" w:rsidP="008C4591">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Where the e</w:t>
      </w:r>
      <w:r w:rsidR="008E7463">
        <w:rPr>
          <w:rFonts w:ascii="Book Antiqua" w:hAnsi="Book Antiqua"/>
          <w:sz w:val="24"/>
          <w:szCs w:val="24"/>
        </w:rPr>
        <w:t>xhibits to an affidavit exceed two</w:t>
      </w:r>
      <w:r w:rsidRPr="00E93767">
        <w:rPr>
          <w:rFonts w:ascii="Book Antiqua" w:hAnsi="Book Antiqua"/>
          <w:sz w:val="24"/>
          <w:szCs w:val="24"/>
        </w:rPr>
        <w:t xml:space="preserve"> in number, an index is to be provided which is hyperlinked to the first page of each exhibit</w:t>
      </w:r>
      <w:r>
        <w:rPr>
          <w:rFonts w:ascii="Book Antiqua" w:hAnsi="Book Antiqua"/>
          <w:sz w:val="24"/>
          <w:szCs w:val="24"/>
        </w:rPr>
        <w:t>.</w:t>
      </w:r>
    </w:p>
    <w:p w14:paraId="7B25D99A" w14:textId="77777777" w:rsidR="00386D74" w:rsidRPr="00386D74" w:rsidRDefault="00386D74" w:rsidP="009369CD">
      <w:pPr>
        <w:pStyle w:val="ListParagraph"/>
        <w:spacing w:before="120" w:after="120"/>
        <w:ind w:left="360"/>
        <w:jc w:val="both"/>
        <w:rPr>
          <w:rFonts w:ascii="Book Antiqua" w:hAnsi="Book Antiqua"/>
          <w:sz w:val="24"/>
          <w:szCs w:val="24"/>
        </w:rPr>
      </w:pPr>
    </w:p>
    <w:p w14:paraId="7B25D99B" w14:textId="77777777" w:rsidR="00386D74" w:rsidRPr="007917BE" w:rsidRDefault="00E93767" w:rsidP="00386D74">
      <w:pPr>
        <w:pStyle w:val="Heading1"/>
        <w:spacing w:before="120" w:after="120"/>
        <w:rPr>
          <w:rFonts w:ascii="Book Antiqua" w:hAnsi="Book Antiqua"/>
          <w:szCs w:val="24"/>
        </w:rPr>
      </w:pPr>
      <w:r>
        <w:rPr>
          <w:rFonts w:ascii="Book Antiqua" w:hAnsi="Book Antiqua"/>
          <w:szCs w:val="24"/>
        </w:rPr>
        <w:t>ACCESS BY PARTIES INCLUDING SELF-REPRESENTED LITIGANTS</w:t>
      </w:r>
    </w:p>
    <w:p w14:paraId="7B25D99C" w14:textId="77777777" w:rsidR="00E93767" w:rsidRPr="0083502F" w:rsidRDefault="00E93767" w:rsidP="00E93767">
      <w:pPr>
        <w:pStyle w:val="ListParagraph"/>
        <w:numPr>
          <w:ilvl w:val="1"/>
          <w:numId w:val="24"/>
        </w:numPr>
        <w:spacing w:before="120" w:after="120"/>
        <w:ind w:left="720" w:hanging="720"/>
        <w:jc w:val="both"/>
        <w:rPr>
          <w:rFonts w:ascii="Book Antiqua" w:hAnsi="Book Antiqua"/>
          <w:sz w:val="24"/>
          <w:szCs w:val="24"/>
        </w:rPr>
      </w:pPr>
      <w:r w:rsidRPr="0083502F">
        <w:rPr>
          <w:rFonts w:ascii="Book Antiqua" w:hAnsi="Book Antiqua"/>
          <w:sz w:val="24"/>
          <w:szCs w:val="24"/>
        </w:rPr>
        <w:t xml:space="preserve">Only a legal practitioner or an employee of a legal practice with administrative responsibility for the relevant RedCrest matter will be able to apply for a username and password online. </w:t>
      </w:r>
    </w:p>
    <w:p w14:paraId="7B25D99D"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 self-represented party seeking access to RedCrest to view a case page for a ma</w:t>
      </w:r>
      <w:r w:rsidR="00BA38D4">
        <w:rPr>
          <w:rFonts w:ascii="Book Antiqua" w:hAnsi="Book Antiqua"/>
          <w:sz w:val="24"/>
          <w:szCs w:val="24"/>
        </w:rPr>
        <w:t>tter in which they are involved</w:t>
      </w:r>
      <w:r w:rsidRPr="00E93767">
        <w:rPr>
          <w:rFonts w:ascii="Book Antiqua" w:hAnsi="Book Antiqua"/>
          <w:sz w:val="24"/>
          <w:szCs w:val="24"/>
        </w:rPr>
        <w:t xml:space="preserve"> should make the request by email to </w:t>
      </w:r>
      <w:hyperlink r:id="rId21" w:history="1">
        <w:r w:rsidR="003229D8" w:rsidRPr="003E5951">
          <w:rPr>
            <w:rStyle w:val="Hyperlink"/>
            <w:rFonts w:ascii="Book Antiqua" w:hAnsi="Book Antiqua"/>
            <w:sz w:val="24"/>
            <w:szCs w:val="24"/>
          </w:rPr>
          <w:t>unrepresented@supremecourt.vic.gov.au</w:t>
        </w:r>
      </w:hyperlink>
      <w:r w:rsidR="00577330">
        <w:rPr>
          <w:rFonts w:ascii="Book Antiqua" w:hAnsi="Book Antiqua"/>
          <w:sz w:val="24"/>
          <w:szCs w:val="24"/>
        </w:rPr>
        <w:t>.</w:t>
      </w:r>
    </w:p>
    <w:p w14:paraId="7B25D99E" w14:textId="77777777" w:rsidR="00577330" w:rsidRPr="00E93767" w:rsidRDefault="00E93767" w:rsidP="008C4591">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 self-represented party</w:t>
      </w:r>
      <w:r w:rsidR="00577330">
        <w:rPr>
          <w:rFonts w:ascii="Book Antiqua" w:hAnsi="Book Antiqua"/>
          <w:sz w:val="24"/>
          <w:szCs w:val="24"/>
        </w:rPr>
        <w:t xml:space="preserve"> will </w:t>
      </w:r>
      <w:r w:rsidR="00577330" w:rsidRPr="008C4591">
        <w:rPr>
          <w:rFonts w:ascii="Book Antiqua" w:hAnsi="Book Antiqua"/>
          <w:sz w:val="24"/>
          <w:szCs w:val="24"/>
        </w:rPr>
        <w:t>not</w:t>
      </w:r>
      <w:r w:rsidR="00577330" w:rsidRPr="00E93767">
        <w:rPr>
          <w:rFonts w:ascii="Book Antiqua" w:hAnsi="Book Antiqua"/>
          <w:sz w:val="24"/>
          <w:szCs w:val="24"/>
        </w:rPr>
        <w:t xml:space="preserve"> be able to file any documents via RedCrest. </w:t>
      </w:r>
      <w:r w:rsidR="00577330">
        <w:rPr>
          <w:rFonts w:ascii="Book Antiqua" w:hAnsi="Book Antiqua"/>
          <w:sz w:val="24"/>
          <w:szCs w:val="24"/>
        </w:rPr>
        <w:t xml:space="preserve"> </w:t>
      </w:r>
      <w:r w:rsidR="00577330" w:rsidRPr="00E93767">
        <w:rPr>
          <w:rFonts w:ascii="Book Antiqua" w:hAnsi="Book Antiqua"/>
          <w:sz w:val="24"/>
          <w:szCs w:val="24"/>
        </w:rPr>
        <w:t xml:space="preserve">Instead, they may seek to file documents by email to </w:t>
      </w:r>
      <w:hyperlink r:id="rId22" w:history="1">
        <w:r w:rsidR="00AB1420" w:rsidRPr="00E14263">
          <w:rPr>
            <w:rStyle w:val="Hyperlink"/>
            <w:rFonts w:ascii="Book Antiqua" w:hAnsi="Book Antiqua"/>
            <w:sz w:val="24"/>
            <w:szCs w:val="24"/>
          </w:rPr>
          <w:t>unrepresented@supremecourt.vic.gov.au</w:t>
        </w:r>
      </w:hyperlink>
      <w:r w:rsidR="00577330">
        <w:rPr>
          <w:rFonts w:ascii="Book Antiqua" w:hAnsi="Book Antiqua"/>
          <w:sz w:val="24"/>
          <w:szCs w:val="24"/>
        </w:rPr>
        <w:t xml:space="preserve">.  </w:t>
      </w:r>
      <w:r w:rsidR="00577330" w:rsidRPr="00E93767">
        <w:rPr>
          <w:rFonts w:ascii="Book Antiqua" w:hAnsi="Book Antiqua"/>
          <w:sz w:val="24"/>
          <w:szCs w:val="24"/>
        </w:rPr>
        <w:t>Once the documents have been checked and approved for filing, Registry staff can assist in the filing process.</w:t>
      </w:r>
    </w:p>
    <w:p w14:paraId="7B25D99F" w14:textId="77777777" w:rsidR="00E93767" w:rsidRPr="00E93767" w:rsidRDefault="00E93767" w:rsidP="008C4591">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 xml:space="preserve">A self-represented party who is served with an Originating Process, a Third Party Notice or a Counterclaim (as a new party) </w:t>
      </w:r>
      <w:r w:rsidR="00412AB7">
        <w:rPr>
          <w:rFonts w:ascii="Book Antiqua" w:hAnsi="Book Antiqua"/>
          <w:sz w:val="24"/>
          <w:szCs w:val="24"/>
        </w:rPr>
        <w:t xml:space="preserve">in a RedCrest proceeding </w:t>
      </w:r>
      <w:r w:rsidRPr="00E93767">
        <w:rPr>
          <w:rFonts w:ascii="Book Antiqua" w:hAnsi="Book Antiqua"/>
          <w:sz w:val="24"/>
          <w:szCs w:val="24"/>
        </w:rPr>
        <w:t>and who wishes to contest the claim must:</w:t>
      </w:r>
    </w:p>
    <w:p w14:paraId="7B25D9A0" w14:textId="77777777"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Complete a Notice of Appearance Form 8AB (General), 8AC (Conditional) or 4A (Corporations); and</w:t>
      </w:r>
    </w:p>
    <w:p w14:paraId="7B25D9A1" w14:textId="77777777" w:rsidR="00E93767" w:rsidRPr="00E93767" w:rsidRDefault="00E93767" w:rsidP="003229D8">
      <w:pPr>
        <w:pStyle w:val="ListParagraph"/>
        <w:numPr>
          <w:ilvl w:val="2"/>
          <w:numId w:val="24"/>
        </w:numPr>
        <w:spacing w:before="120" w:after="120"/>
        <w:ind w:left="1440"/>
        <w:jc w:val="both"/>
        <w:rPr>
          <w:rFonts w:ascii="Book Antiqua" w:hAnsi="Book Antiqua"/>
          <w:sz w:val="24"/>
          <w:szCs w:val="24"/>
        </w:rPr>
      </w:pPr>
      <w:r w:rsidRPr="00E93767">
        <w:rPr>
          <w:rFonts w:ascii="Book Antiqua" w:hAnsi="Book Antiqua"/>
          <w:sz w:val="24"/>
          <w:szCs w:val="24"/>
        </w:rPr>
        <w:t xml:space="preserve">Within the </w:t>
      </w:r>
      <w:r w:rsidR="007D671D">
        <w:rPr>
          <w:rFonts w:ascii="Book Antiqua" w:hAnsi="Book Antiqua"/>
          <w:sz w:val="24"/>
          <w:szCs w:val="24"/>
        </w:rPr>
        <w:t xml:space="preserve">required </w:t>
      </w:r>
      <w:r w:rsidRPr="00E93767">
        <w:rPr>
          <w:rFonts w:ascii="Book Antiqua" w:hAnsi="Book Antiqua"/>
          <w:sz w:val="24"/>
          <w:szCs w:val="24"/>
        </w:rPr>
        <w:t xml:space="preserve">time, file </w:t>
      </w:r>
      <w:r w:rsidR="002A667E">
        <w:rPr>
          <w:rFonts w:ascii="Book Antiqua" w:hAnsi="Book Antiqua"/>
          <w:sz w:val="24"/>
          <w:szCs w:val="24"/>
        </w:rPr>
        <w:t>a</w:t>
      </w:r>
      <w:r w:rsidR="002A667E" w:rsidRPr="00E93767">
        <w:rPr>
          <w:rFonts w:ascii="Book Antiqua" w:hAnsi="Book Antiqua"/>
          <w:sz w:val="24"/>
          <w:szCs w:val="24"/>
        </w:rPr>
        <w:t xml:space="preserve"> </w:t>
      </w:r>
      <w:r w:rsidRPr="00E93767">
        <w:rPr>
          <w:rFonts w:ascii="Book Antiqua" w:hAnsi="Book Antiqua"/>
          <w:sz w:val="24"/>
          <w:szCs w:val="24"/>
        </w:rPr>
        <w:t>Notice of Appearance</w:t>
      </w:r>
      <w:r w:rsidR="007D671D">
        <w:rPr>
          <w:rFonts w:ascii="Book Antiqua" w:hAnsi="Book Antiqua"/>
          <w:sz w:val="24"/>
          <w:szCs w:val="24"/>
        </w:rPr>
        <w:t xml:space="preserve"> in person at the Commercial Court Registry or</w:t>
      </w:r>
      <w:r w:rsidRPr="00E93767">
        <w:rPr>
          <w:rFonts w:ascii="Book Antiqua" w:hAnsi="Book Antiqua"/>
          <w:sz w:val="24"/>
          <w:szCs w:val="24"/>
        </w:rPr>
        <w:t xml:space="preserve"> by email to </w:t>
      </w:r>
      <w:hyperlink r:id="rId23" w:history="1">
        <w:r w:rsidR="003229D8" w:rsidRPr="003E5951">
          <w:rPr>
            <w:rStyle w:val="Hyperlink"/>
            <w:rFonts w:ascii="Book Antiqua" w:hAnsi="Book Antiqua"/>
            <w:sz w:val="24"/>
            <w:szCs w:val="24"/>
          </w:rPr>
          <w:t>unrepresented@supremecourt.vic.gov.au</w:t>
        </w:r>
      </w:hyperlink>
      <w:r w:rsidRPr="00E93767">
        <w:rPr>
          <w:rFonts w:ascii="Book Antiqua" w:hAnsi="Book Antiqua"/>
          <w:sz w:val="24"/>
          <w:szCs w:val="24"/>
        </w:rPr>
        <w:t>.</w:t>
      </w:r>
    </w:p>
    <w:p w14:paraId="7B25D9A2" w14:textId="77777777" w:rsidR="00E93767" w:rsidRPr="00E93767" w:rsidRDefault="00E93767" w:rsidP="00E93767">
      <w:pPr>
        <w:pStyle w:val="ListParagraph"/>
        <w:numPr>
          <w:ilvl w:val="1"/>
          <w:numId w:val="24"/>
        </w:numPr>
        <w:spacing w:before="120" w:after="120"/>
        <w:ind w:left="720" w:hanging="720"/>
        <w:jc w:val="both"/>
        <w:rPr>
          <w:rFonts w:ascii="Book Antiqua" w:hAnsi="Book Antiqua"/>
          <w:sz w:val="24"/>
          <w:szCs w:val="24"/>
        </w:rPr>
      </w:pPr>
      <w:r w:rsidRPr="00E93767">
        <w:rPr>
          <w:rFonts w:ascii="Book Antiqua" w:hAnsi="Book Antiqua"/>
          <w:sz w:val="24"/>
          <w:szCs w:val="24"/>
        </w:rPr>
        <w:t>Assistance will be given by Registry staff to ensure that the Notice of Appearance is correctly completed. Registry staff will then file the Notice of Appearance in the electronic file in RedCrest for the proceeding.</w:t>
      </w:r>
    </w:p>
    <w:p w14:paraId="7B25D9A3" w14:textId="77777777" w:rsidR="00E93767" w:rsidRPr="00E93767" w:rsidRDefault="00E93767" w:rsidP="003229D8">
      <w:pPr>
        <w:pStyle w:val="ListParagraph"/>
        <w:spacing w:before="120" w:after="120"/>
        <w:ind w:left="360"/>
        <w:jc w:val="both"/>
        <w:rPr>
          <w:rFonts w:ascii="Book Antiqua" w:hAnsi="Book Antiqua"/>
          <w:sz w:val="24"/>
          <w:szCs w:val="24"/>
        </w:rPr>
      </w:pPr>
    </w:p>
    <w:p w14:paraId="7B25D9A4" w14:textId="77777777" w:rsidR="00386D74" w:rsidRPr="007917BE" w:rsidRDefault="003229D8" w:rsidP="00386D74">
      <w:pPr>
        <w:pStyle w:val="Heading1"/>
        <w:spacing w:before="120" w:after="120"/>
        <w:rPr>
          <w:rFonts w:ascii="Book Antiqua" w:hAnsi="Book Antiqua"/>
          <w:szCs w:val="24"/>
        </w:rPr>
      </w:pPr>
      <w:r>
        <w:rPr>
          <w:rFonts w:ascii="Book Antiqua" w:hAnsi="Book Antiqua"/>
          <w:szCs w:val="24"/>
        </w:rPr>
        <w:t>FILE INSPECTIONS IN REDCREST MATTERS</w:t>
      </w:r>
    </w:p>
    <w:p w14:paraId="7B25D9A5" w14:textId="77777777" w:rsidR="003229D8" w:rsidRPr="003229D8" w:rsidRDefault="003229D8" w:rsidP="00F92097">
      <w:pPr>
        <w:pStyle w:val="ListParagraph"/>
        <w:numPr>
          <w:ilvl w:val="1"/>
          <w:numId w:val="24"/>
        </w:numPr>
        <w:ind w:left="720" w:hanging="720"/>
        <w:jc w:val="both"/>
        <w:rPr>
          <w:rFonts w:ascii="Book Antiqua" w:hAnsi="Book Antiqua"/>
          <w:sz w:val="24"/>
          <w:szCs w:val="24"/>
        </w:rPr>
      </w:pPr>
      <w:r w:rsidRPr="003229D8">
        <w:rPr>
          <w:rFonts w:ascii="Book Antiqua" w:hAnsi="Book Antiqua"/>
          <w:sz w:val="24"/>
          <w:szCs w:val="24"/>
        </w:rPr>
        <w:t xml:space="preserve">Any person wishing to conduct a file inspection of a RedCrest matter must contact the Commercial Court Registry by telephone or email to arrange an inspection prior to attending the Commercial Court Registry. </w:t>
      </w:r>
    </w:p>
    <w:p w14:paraId="7B25D9A6" w14:textId="77777777" w:rsidR="00386D74" w:rsidRPr="00386D74" w:rsidRDefault="00386D74" w:rsidP="00F92097">
      <w:pPr>
        <w:pStyle w:val="ListParagraph"/>
        <w:spacing w:before="120" w:after="120"/>
        <w:jc w:val="both"/>
        <w:rPr>
          <w:rFonts w:ascii="Book Antiqua" w:hAnsi="Book Antiqua"/>
          <w:sz w:val="24"/>
          <w:szCs w:val="24"/>
        </w:rPr>
      </w:pPr>
    </w:p>
    <w:p w14:paraId="7B25D9A7" w14:textId="77777777" w:rsidR="00386D74" w:rsidRPr="007917BE" w:rsidRDefault="003229D8" w:rsidP="00F92097">
      <w:pPr>
        <w:pStyle w:val="Heading1"/>
        <w:spacing w:before="120" w:after="120"/>
        <w:jc w:val="both"/>
        <w:rPr>
          <w:rFonts w:ascii="Book Antiqua" w:hAnsi="Book Antiqua"/>
          <w:szCs w:val="24"/>
        </w:rPr>
      </w:pPr>
      <w:r>
        <w:rPr>
          <w:rFonts w:ascii="Book Antiqua" w:hAnsi="Book Antiqua"/>
          <w:szCs w:val="24"/>
        </w:rPr>
        <w:t>CITEC</w:t>
      </w:r>
    </w:p>
    <w:p w14:paraId="7B25D9A8" w14:textId="77777777" w:rsidR="003229D8" w:rsidRPr="003229D8" w:rsidRDefault="0055017B" w:rsidP="00F92097">
      <w:pPr>
        <w:pStyle w:val="ListParagraph"/>
        <w:numPr>
          <w:ilvl w:val="1"/>
          <w:numId w:val="24"/>
        </w:numPr>
        <w:ind w:left="720" w:hanging="720"/>
        <w:jc w:val="both"/>
        <w:rPr>
          <w:rFonts w:ascii="Book Antiqua" w:hAnsi="Book Antiqua"/>
          <w:sz w:val="24"/>
          <w:szCs w:val="24"/>
        </w:rPr>
      </w:pPr>
      <w:r w:rsidRPr="00786E34">
        <w:rPr>
          <w:rFonts w:ascii="Book Antiqua" w:hAnsi="Book Antiqua"/>
          <w:sz w:val="24"/>
          <w:szCs w:val="24"/>
        </w:rPr>
        <w:t>Subject to r</w:t>
      </w:r>
      <w:r w:rsidR="00786E34" w:rsidRPr="009369CD">
        <w:rPr>
          <w:rFonts w:ascii="Book Antiqua" w:hAnsi="Book Antiqua"/>
          <w:sz w:val="24"/>
          <w:szCs w:val="24"/>
        </w:rPr>
        <w:t>ule</w:t>
      </w:r>
      <w:r w:rsidRPr="00786E34">
        <w:rPr>
          <w:rFonts w:ascii="Book Antiqua" w:hAnsi="Book Antiqua"/>
          <w:sz w:val="24"/>
          <w:szCs w:val="24"/>
        </w:rPr>
        <w:t xml:space="preserve"> 28</w:t>
      </w:r>
      <w:r w:rsidR="00DE717D" w:rsidRPr="00786E34">
        <w:rPr>
          <w:rFonts w:ascii="Book Antiqua" w:hAnsi="Book Antiqua"/>
          <w:sz w:val="24"/>
          <w:szCs w:val="24"/>
        </w:rPr>
        <w:t>A.04(6) to (9)</w:t>
      </w:r>
      <w:r w:rsidR="00A66647" w:rsidRPr="00786E34">
        <w:rPr>
          <w:rFonts w:ascii="Book Antiqua" w:hAnsi="Book Antiqua"/>
          <w:sz w:val="24"/>
          <w:szCs w:val="24"/>
        </w:rPr>
        <w:t xml:space="preserve"> of the RedCrest Rules</w:t>
      </w:r>
      <w:r w:rsidR="00DE717D" w:rsidRPr="00786E34">
        <w:rPr>
          <w:rFonts w:ascii="Book Antiqua" w:hAnsi="Book Antiqua"/>
          <w:sz w:val="24"/>
          <w:szCs w:val="24"/>
        </w:rPr>
        <w:t>,</w:t>
      </w:r>
      <w:r w:rsidR="00DE717D">
        <w:rPr>
          <w:rFonts w:ascii="Book Antiqua" w:hAnsi="Book Antiqua"/>
          <w:sz w:val="24"/>
          <w:szCs w:val="24"/>
        </w:rPr>
        <w:t xml:space="preserve"> m</w:t>
      </w:r>
      <w:r w:rsidR="003229D8" w:rsidRPr="003229D8">
        <w:rPr>
          <w:rFonts w:ascii="Book Antiqua" w:hAnsi="Book Antiqua"/>
          <w:sz w:val="24"/>
          <w:szCs w:val="24"/>
        </w:rPr>
        <w:t xml:space="preserve">atters to which RedCrest applies will not be permitted to be filed via the </w:t>
      </w:r>
      <w:r w:rsidR="00786E34">
        <w:rPr>
          <w:rFonts w:ascii="Book Antiqua" w:hAnsi="Book Antiqua"/>
          <w:sz w:val="24"/>
          <w:szCs w:val="24"/>
        </w:rPr>
        <w:t>CITEC</w:t>
      </w:r>
      <w:r w:rsidR="00786E34" w:rsidRPr="003229D8">
        <w:rPr>
          <w:rFonts w:ascii="Book Antiqua" w:hAnsi="Book Antiqua"/>
          <w:sz w:val="24"/>
          <w:szCs w:val="24"/>
        </w:rPr>
        <w:t xml:space="preserve"> </w:t>
      </w:r>
      <w:r w:rsidR="003229D8" w:rsidRPr="003229D8">
        <w:rPr>
          <w:rFonts w:ascii="Book Antiqua" w:hAnsi="Book Antiqua"/>
          <w:sz w:val="24"/>
          <w:szCs w:val="24"/>
        </w:rPr>
        <w:t>efiling system under Order 28A of the Rules.</w:t>
      </w:r>
    </w:p>
    <w:p w14:paraId="7B25D9A9" w14:textId="77777777" w:rsidR="00386D74" w:rsidRPr="00386D74" w:rsidRDefault="00386D74" w:rsidP="00F92097">
      <w:pPr>
        <w:pStyle w:val="ListParagraph"/>
        <w:spacing w:before="120" w:after="120"/>
        <w:jc w:val="both"/>
        <w:rPr>
          <w:rFonts w:ascii="Book Antiqua" w:hAnsi="Book Antiqua"/>
          <w:sz w:val="24"/>
          <w:szCs w:val="24"/>
        </w:rPr>
      </w:pPr>
    </w:p>
    <w:p w14:paraId="7B25D9AA" w14:textId="77777777" w:rsidR="00386D74" w:rsidRPr="007917BE" w:rsidRDefault="003229D8" w:rsidP="00F92097">
      <w:pPr>
        <w:pStyle w:val="Heading1"/>
        <w:spacing w:before="120" w:after="120"/>
        <w:jc w:val="both"/>
        <w:rPr>
          <w:rFonts w:ascii="Book Antiqua" w:hAnsi="Book Antiqua"/>
          <w:szCs w:val="24"/>
        </w:rPr>
      </w:pPr>
      <w:r>
        <w:rPr>
          <w:rFonts w:ascii="Book Antiqua" w:hAnsi="Book Antiqua"/>
          <w:szCs w:val="24"/>
        </w:rPr>
        <w:t>GROUP PROCEEDINGS</w:t>
      </w:r>
    </w:p>
    <w:p w14:paraId="7B25D9AB" w14:textId="77777777" w:rsidR="003229D8" w:rsidRPr="003229D8" w:rsidRDefault="003229D8" w:rsidP="00F92097">
      <w:pPr>
        <w:pStyle w:val="ListParagraph"/>
        <w:numPr>
          <w:ilvl w:val="1"/>
          <w:numId w:val="24"/>
        </w:numPr>
        <w:ind w:left="720" w:hanging="720"/>
        <w:jc w:val="both"/>
        <w:rPr>
          <w:rFonts w:ascii="Book Antiqua" w:hAnsi="Book Antiqua"/>
          <w:sz w:val="24"/>
          <w:szCs w:val="24"/>
        </w:rPr>
      </w:pPr>
      <w:r w:rsidRPr="003229D8">
        <w:rPr>
          <w:rFonts w:ascii="Book Antiqua" w:hAnsi="Book Antiqua"/>
          <w:sz w:val="24"/>
          <w:szCs w:val="24"/>
        </w:rPr>
        <w:t xml:space="preserve">A practitioner seeking to initiate a Group Proceeding on RedCrest pursuant to Part 4A of the </w:t>
      </w:r>
      <w:r w:rsidRPr="003229D8">
        <w:rPr>
          <w:rFonts w:ascii="Book Antiqua" w:hAnsi="Book Antiqua"/>
          <w:i/>
          <w:sz w:val="24"/>
          <w:szCs w:val="24"/>
        </w:rPr>
        <w:t xml:space="preserve">Supreme Court Act </w:t>
      </w:r>
      <w:r w:rsidRPr="00574DBA">
        <w:rPr>
          <w:rFonts w:ascii="Book Antiqua" w:hAnsi="Book Antiqua"/>
          <w:i/>
          <w:sz w:val="24"/>
          <w:szCs w:val="24"/>
        </w:rPr>
        <w:t>1986</w:t>
      </w:r>
      <w:r w:rsidRPr="003229D8">
        <w:rPr>
          <w:rFonts w:ascii="Book Antiqua" w:hAnsi="Book Antiqua"/>
          <w:sz w:val="24"/>
          <w:szCs w:val="24"/>
        </w:rPr>
        <w:t xml:space="preserve"> </w:t>
      </w:r>
      <w:r w:rsidRPr="003229D8">
        <w:rPr>
          <w:rFonts w:ascii="Book Antiqua" w:hAnsi="Book Antiqua"/>
          <w:b/>
          <w:sz w:val="24"/>
          <w:szCs w:val="24"/>
        </w:rPr>
        <w:t>should not do so</w:t>
      </w:r>
      <w:r w:rsidRPr="003229D8">
        <w:rPr>
          <w:rFonts w:ascii="Book Antiqua" w:hAnsi="Book Antiqua"/>
          <w:sz w:val="24"/>
          <w:szCs w:val="24"/>
        </w:rPr>
        <w:t xml:space="preserve"> without prior consultation with the Commercial Court Registry, and may be required to seek the permission of the Court.</w:t>
      </w:r>
    </w:p>
    <w:p w14:paraId="7B25D9AC" w14:textId="77777777" w:rsidR="00386D74" w:rsidRPr="00386D74" w:rsidRDefault="00386D74" w:rsidP="003229D8">
      <w:pPr>
        <w:pStyle w:val="ListParagraph"/>
        <w:spacing w:before="120" w:after="120"/>
        <w:jc w:val="both"/>
        <w:rPr>
          <w:rFonts w:ascii="Book Antiqua" w:hAnsi="Book Antiqua"/>
          <w:sz w:val="24"/>
          <w:szCs w:val="24"/>
        </w:rPr>
      </w:pPr>
    </w:p>
    <w:p w14:paraId="7B25D9AD" w14:textId="77777777" w:rsidR="00386D74" w:rsidRPr="007917BE" w:rsidRDefault="00386D74" w:rsidP="00386D74">
      <w:pPr>
        <w:pStyle w:val="Heading1"/>
        <w:spacing w:before="120" w:after="120"/>
        <w:rPr>
          <w:rFonts w:ascii="Book Antiqua" w:hAnsi="Book Antiqua"/>
          <w:szCs w:val="24"/>
        </w:rPr>
      </w:pPr>
      <w:r>
        <w:rPr>
          <w:rFonts w:ascii="Book Antiqua" w:hAnsi="Book Antiqua"/>
          <w:szCs w:val="24"/>
        </w:rPr>
        <w:t>R</w:t>
      </w:r>
      <w:r w:rsidR="003229D8">
        <w:rPr>
          <w:rFonts w:ascii="Book Antiqua" w:hAnsi="Book Antiqua"/>
          <w:szCs w:val="24"/>
        </w:rPr>
        <w:t>EDCREST USAGE RULES</w:t>
      </w:r>
    </w:p>
    <w:p w14:paraId="7B25D9AE" w14:textId="77777777" w:rsidR="003229D8" w:rsidRP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As a condition of being issued with a username and password for RedCrest and of continuing to use RedCrest, each registrant must read and agree to the following terms and conditions of RedCrest use:</w:t>
      </w:r>
    </w:p>
    <w:p w14:paraId="7B25D9AF"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 xml:space="preserve">To protect and maintain the confidentiality of any parts of a Court file in RedCrest designated as confidential; </w:t>
      </w:r>
    </w:p>
    <w:p w14:paraId="7B25D9B0"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lastRenderedPageBreak/>
        <w:t>To keep confidential the username and password used for access to RedCrest for the exclusive use of the registrant and any person who is a personal assistant of the registrant;</w:t>
      </w:r>
    </w:p>
    <w:p w14:paraId="7B25D9B1"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To comply with any condition or limitation of registration issued in relation to RedCrest;</w:t>
      </w:r>
    </w:p>
    <w:p w14:paraId="7B25D9B2"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To comply with the RedCrest Rules and this RedCrest Practice Note; and</w:t>
      </w:r>
    </w:p>
    <w:p w14:paraId="7B25D9B3" w14:textId="77777777" w:rsidR="003229D8" w:rsidRPr="003229D8" w:rsidRDefault="003229D8" w:rsidP="003229D8">
      <w:pPr>
        <w:pStyle w:val="ListParagraph"/>
        <w:numPr>
          <w:ilvl w:val="2"/>
          <w:numId w:val="24"/>
        </w:numPr>
        <w:spacing w:before="120" w:after="120"/>
        <w:ind w:left="1440"/>
        <w:jc w:val="both"/>
        <w:rPr>
          <w:rFonts w:ascii="Book Antiqua" w:hAnsi="Book Antiqua"/>
          <w:sz w:val="24"/>
          <w:szCs w:val="24"/>
        </w:rPr>
      </w:pPr>
      <w:r w:rsidRPr="003229D8">
        <w:rPr>
          <w:rFonts w:ascii="Book Antiqua" w:hAnsi="Book Antiqua"/>
          <w:sz w:val="24"/>
          <w:szCs w:val="24"/>
        </w:rPr>
        <w:t xml:space="preserve">To pay the fees prescribed by </w:t>
      </w:r>
      <w:r w:rsidRPr="008C4591">
        <w:rPr>
          <w:rFonts w:ascii="Book Antiqua" w:hAnsi="Book Antiqua"/>
          <w:i/>
          <w:sz w:val="24"/>
          <w:szCs w:val="24"/>
        </w:rPr>
        <w:t>Supreme Court (Fees) Regulations</w:t>
      </w:r>
      <w:r w:rsidRPr="003229D8">
        <w:rPr>
          <w:rFonts w:ascii="Book Antiqua" w:hAnsi="Book Antiqua"/>
          <w:sz w:val="24"/>
          <w:szCs w:val="24"/>
        </w:rPr>
        <w:t xml:space="preserve"> </w:t>
      </w:r>
      <w:r w:rsidRPr="00574DBA">
        <w:rPr>
          <w:rFonts w:ascii="Book Antiqua" w:hAnsi="Book Antiqua"/>
          <w:i/>
          <w:sz w:val="24"/>
          <w:szCs w:val="24"/>
        </w:rPr>
        <w:t>2012</w:t>
      </w:r>
      <w:r w:rsidRPr="003229D8">
        <w:rPr>
          <w:rFonts w:ascii="Book Antiqua" w:hAnsi="Book Antiqua"/>
          <w:sz w:val="24"/>
          <w:szCs w:val="24"/>
        </w:rPr>
        <w:t xml:space="preserve"> which are payable in respect of the RedCrest matter. </w:t>
      </w:r>
      <w:r w:rsidR="00D94637">
        <w:rPr>
          <w:rFonts w:ascii="Book Antiqua" w:hAnsi="Book Antiqua"/>
          <w:sz w:val="24"/>
          <w:szCs w:val="24"/>
        </w:rPr>
        <w:t xml:space="preserve"> </w:t>
      </w:r>
      <w:r w:rsidRPr="003229D8">
        <w:rPr>
          <w:rFonts w:ascii="Book Antiqua" w:hAnsi="Book Antiqua"/>
          <w:sz w:val="24"/>
          <w:szCs w:val="24"/>
        </w:rPr>
        <w:t>See also Practice Note SC CC 7 – Impositi</w:t>
      </w:r>
      <w:r w:rsidR="00D94637">
        <w:rPr>
          <w:rFonts w:ascii="Book Antiqua" w:hAnsi="Book Antiqua"/>
          <w:sz w:val="24"/>
          <w:szCs w:val="24"/>
        </w:rPr>
        <w:t>on of Fees in Commercial Court J</w:t>
      </w:r>
      <w:r w:rsidRPr="003229D8">
        <w:rPr>
          <w:rFonts w:ascii="Book Antiqua" w:hAnsi="Book Antiqua"/>
          <w:sz w:val="24"/>
          <w:szCs w:val="24"/>
        </w:rPr>
        <w:t>udge-</w:t>
      </w:r>
      <w:r w:rsidR="00AA4005">
        <w:rPr>
          <w:rFonts w:ascii="Book Antiqua" w:hAnsi="Book Antiqua"/>
          <w:sz w:val="24"/>
          <w:szCs w:val="24"/>
        </w:rPr>
        <w:t>m</w:t>
      </w:r>
      <w:r w:rsidRPr="003229D8">
        <w:rPr>
          <w:rFonts w:ascii="Book Antiqua" w:hAnsi="Book Antiqua"/>
          <w:sz w:val="24"/>
          <w:szCs w:val="24"/>
        </w:rPr>
        <w:t xml:space="preserve">anaged </w:t>
      </w:r>
      <w:r w:rsidR="00D94637">
        <w:rPr>
          <w:rFonts w:ascii="Book Antiqua" w:hAnsi="Book Antiqua"/>
          <w:sz w:val="24"/>
          <w:szCs w:val="24"/>
        </w:rPr>
        <w:t>L</w:t>
      </w:r>
      <w:r w:rsidRPr="003229D8">
        <w:rPr>
          <w:rFonts w:ascii="Book Antiqua" w:hAnsi="Book Antiqua"/>
          <w:sz w:val="24"/>
          <w:szCs w:val="24"/>
        </w:rPr>
        <w:t xml:space="preserve">ists. </w:t>
      </w:r>
    </w:p>
    <w:p w14:paraId="7B25D9B4" w14:textId="77777777" w:rsid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 xml:space="preserve">Under the RedCrest Rules </w:t>
      </w:r>
      <w:r w:rsidRPr="00F549CC">
        <w:rPr>
          <w:rFonts w:ascii="Book Antiqua" w:hAnsi="Book Antiqua"/>
          <w:sz w:val="24"/>
          <w:szCs w:val="24"/>
        </w:rPr>
        <w:t>the Prothonotary</w:t>
      </w:r>
      <w:r w:rsidRPr="003229D8">
        <w:rPr>
          <w:rFonts w:ascii="Book Antiqua" w:hAnsi="Book Antiqua"/>
          <w:sz w:val="24"/>
          <w:szCs w:val="24"/>
        </w:rPr>
        <w:t xml:space="preserve"> may refuse to issue a username to a person or may cancel the username of a person if the person, amongst other things, fails to comply with these terms and conditions.</w:t>
      </w:r>
    </w:p>
    <w:p w14:paraId="7B25D9B5" w14:textId="77777777" w:rsidR="00386D74" w:rsidRPr="00386D74" w:rsidRDefault="00386D74" w:rsidP="003229D8">
      <w:pPr>
        <w:pStyle w:val="ListParagraph"/>
        <w:spacing w:before="120" w:after="120"/>
        <w:ind w:left="360"/>
        <w:jc w:val="both"/>
        <w:rPr>
          <w:rFonts w:ascii="Book Antiqua" w:hAnsi="Book Antiqua"/>
          <w:sz w:val="24"/>
          <w:szCs w:val="24"/>
        </w:rPr>
      </w:pPr>
    </w:p>
    <w:p w14:paraId="7B25D9B6" w14:textId="77777777" w:rsidR="00386D74" w:rsidRPr="007917BE" w:rsidRDefault="003229D8" w:rsidP="00386D74">
      <w:pPr>
        <w:pStyle w:val="Heading1"/>
        <w:spacing w:before="120" w:after="120"/>
        <w:rPr>
          <w:rFonts w:ascii="Book Antiqua" w:hAnsi="Book Antiqua"/>
          <w:szCs w:val="24"/>
        </w:rPr>
      </w:pPr>
      <w:r>
        <w:rPr>
          <w:rFonts w:ascii="Book Antiqua" w:hAnsi="Book Antiqua"/>
          <w:szCs w:val="24"/>
        </w:rPr>
        <w:t>PAYMENT METHODS</w:t>
      </w:r>
    </w:p>
    <w:p w14:paraId="7B25D9B7" w14:textId="77777777" w:rsidR="0019530A" w:rsidRPr="0019530A" w:rsidRDefault="003229D8" w:rsidP="001064EA">
      <w:pPr>
        <w:pStyle w:val="ListParagraph"/>
        <w:numPr>
          <w:ilvl w:val="1"/>
          <w:numId w:val="24"/>
        </w:numPr>
        <w:spacing w:before="120" w:after="120"/>
        <w:ind w:left="720" w:hanging="720"/>
        <w:jc w:val="both"/>
        <w:rPr>
          <w:lang w:eastAsia="en-US"/>
        </w:rPr>
      </w:pPr>
      <w:r w:rsidRPr="003229D8">
        <w:rPr>
          <w:rFonts w:ascii="Book Antiqua" w:hAnsi="Book Antiqua"/>
          <w:sz w:val="24"/>
          <w:szCs w:val="24"/>
        </w:rPr>
        <w:t xml:space="preserve">Payments of prescribed Court fees may be </w:t>
      </w:r>
      <w:r w:rsidR="00606CDD">
        <w:rPr>
          <w:rFonts w:ascii="Book Antiqua" w:hAnsi="Book Antiqua"/>
          <w:sz w:val="24"/>
          <w:szCs w:val="24"/>
        </w:rPr>
        <w:t>made</w:t>
      </w:r>
      <w:r w:rsidR="00606CDD" w:rsidRPr="003229D8">
        <w:rPr>
          <w:rFonts w:ascii="Book Antiqua" w:hAnsi="Book Antiqua"/>
          <w:sz w:val="24"/>
          <w:szCs w:val="24"/>
        </w:rPr>
        <w:t xml:space="preserve"> </w:t>
      </w:r>
      <w:r w:rsidRPr="003229D8">
        <w:rPr>
          <w:rFonts w:ascii="Book Antiqua" w:hAnsi="Book Antiqua"/>
          <w:sz w:val="24"/>
          <w:szCs w:val="24"/>
        </w:rPr>
        <w:t xml:space="preserve">online using </w:t>
      </w:r>
      <w:r w:rsidR="0019530A">
        <w:rPr>
          <w:rFonts w:ascii="Book Antiqua" w:hAnsi="Book Antiqua"/>
          <w:sz w:val="24"/>
          <w:szCs w:val="24"/>
        </w:rPr>
        <w:t xml:space="preserve">PayPal. </w:t>
      </w:r>
      <w:r w:rsidR="0019530A" w:rsidRPr="003229D8">
        <w:rPr>
          <w:rFonts w:ascii="Book Antiqua" w:hAnsi="Book Antiqua"/>
          <w:sz w:val="24"/>
          <w:szCs w:val="24"/>
        </w:rPr>
        <w:t xml:space="preserve"> </w:t>
      </w:r>
      <w:r w:rsidR="0019530A">
        <w:rPr>
          <w:rFonts w:ascii="Book Antiqua" w:hAnsi="Book Antiqua"/>
          <w:sz w:val="24"/>
          <w:szCs w:val="24"/>
        </w:rPr>
        <w:t xml:space="preserve">Users with a PayPal account may </w:t>
      </w:r>
      <w:r w:rsidR="0089599C">
        <w:rPr>
          <w:rFonts w:ascii="Book Antiqua" w:hAnsi="Book Antiqua"/>
          <w:sz w:val="24"/>
          <w:szCs w:val="24"/>
        </w:rPr>
        <w:t xml:space="preserve">pay by any linked account, including </w:t>
      </w:r>
      <w:r w:rsidRPr="003229D8">
        <w:rPr>
          <w:rFonts w:ascii="Book Antiqua" w:hAnsi="Book Antiqua"/>
          <w:sz w:val="24"/>
          <w:szCs w:val="24"/>
        </w:rPr>
        <w:t>AMEX, Visa or Mastercard</w:t>
      </w:r>
      <w:r w:rsidR="0019530A">
        <w:rPr>
          <w:rFonts w:ascii="Book Antiqua" w:hAnsi="Book Antiqua"/>
          <w:sz w:val="24"/>
          <w:szCs w:val="24"/>
        </w:rPr>
        <w:t xml:space="preserve">.  Users paying </w:t>
      </w:r>
      <w:r w:rsidR="0089599C">
        <w:rPr>
          <w:rFonts w:ascii="Book Antiqua" w:hAnsi="Book Antiqua"/>
          <w:sz w:val="24"/>
          <w:szCs w:val="24"/>
        </w:rPr>
        <w:t>via</w:t>
      </w:r>
      <w:r w:rsidR="0019530A">
        <w:rPr>
          <w:rFonts w:ascii="Book Antiqua" w:hAnsi="Book Antiqua"/>
          <w:sz w:val="24"/>
          <w:szCs w:val="24"/>
        </w:rPr>
        <w:t xml:space="preserve"> the PayPal guest checkout function may pay with Visa or MasterCard only</w:t>
      </w:r>
      <w:r w:rsidRPr="003229D8">
        <w:rPr>
          <w:rFonts w:ascii="Book Antiqua" w:hAnsi="Book Antiqua"/>
          <w:sz w:val="24"/>
          <w:szCs w:val="24"/>
        </w:rPr>
        <w:t xml:space="preserve">. </w:t>
      </w:r>
      <w:r w:rsidR="00D94637">
        <w:rPr>
          <w:rFonts w:ascii="Book Antiqua" w:hAnsi="Book Antiqua"/>
          <w:sz w:val="24"/>
          <w:szCs w:val="24"/>
        </w:rPr>
        <w:t xml:space="preserve"> </w:t>
      </w:r>
      <w:r w:rsidRPr="003229D8">
        <w:rPr>
          <w:rFonts w:ascii="Book Antiqua" w:hAnsi="Book Antiqua"/>
          <w:sz w:val="24"/>
          <w:szCs w:val="24"/>
        </w:rPr>
        <w:t>Until further notice, no other online payment method will be accepted.</w:t>
      </w:r>
    </w:p>
    <w:p w14:paraId="7B25D9B8" w14:textId="77777777" w:rsidR="003229D8" w:rsidRPr="003229D8" w:rsidRDefault="003229D8" w:rsidP="003229D8">
      <w:pPr>
        <w:pStyle w:val="ListParagraph"/>
        <w:ind w:left="360"/>
        <w:rPr>
          <w:rFonts w:ascii="Book Antiqua" w:hAnsi="Book Antiqua"/>
          <w:sz w:val="24"/>
          <w:szCs w:val="24"/>
        </w:rPr>
      </w:pPr>
    </w:p>
    <w:p w14:paraId="7B25D9B9" w14:textId="77777777" w:rsidR="00386D74" w:rsidRPr="007917BE" w:rsidRDefault="003229D8" w:rsidP="00386D74">
      <w:pPr>
        <w:pStyle w:val="Heading1"/>
        <w:spacing w:before="120" w:after="120"/>
        <w:rPr>
          <w:rFonts w:ascii="Book Antiqua" w:hAnsi="Book Antiqua"/>
          <w:szCs w:val="24"/>
        </w:rPr>
      </w:pPr>
      <w:r>
        <w:rPr>
          <w:rFonts w:ascii="Book Antiqua" w:hAnsi="Book Antiqua"/>
          <w:szCs w:val="24"/>
        </w:rPr>
        <w:t>JUDICIAL ELECTRONIC SIGNATURE FOR JUDGMENTS AND ORDERS</w:t>
      </w:r>
    </w:p>
    <w:p w14:paraId="7B25D9BA" w14:textId="77777777" w:rsidR="003229D8" w:rsidRPr="003229D8" w:rsidRDefault="003229D8" w:rsidP="00F92097">
      <w:pPr>
        <w:pStyle w:val="ListParagraph"/>
        <w:numPr>
          <w:ilvl w:val="1"/>
          <w:numId w:val="24"/>
        </w:numPr>
        <w:ind w:left="720" w:hanging="720"/>
        <w:jc w:val="both"/>
        <w:rPr>
          <w:rFonts w:ascii="Book Antiqua" w:hAnsi="Book Antiqua"/>
          <w:sz w:val="24"/>
          <w:szCs w:val="24"/>
        </w:rPr>
      </w:pPr>
      <w:r w:rsidRPr="003229D8">
        <w:rPr>
          <w:rFonts w:ascii="Book Antiqua" w:hAnsi="Book Antiqua"/>
          <w:sz w:val="24"/>
          <w:szCs w:val="24"/>
        </w:rPr>
        <w:t>For the purposes of the authentication of judgments and orders in RedCrest pursuant to Rule 28A.11 of the RedCrest Rules, the electronic signature of a Judge, Associate Judge, Judicial Registrar or the Deputy Prothonotary may be the name of the Judge, Associate Judge, Judicial Registrar or the Deputy</w:t>
      </w:r>
      <w:r w:rsidR="009461D3">
        <w:rPr>
          <w:rFonts w:ascii="Book Antiqua" w:hAnsi="Book Antiqua"/>
          <w:sz w:val="24"/>
          <w:szCs w:val="24"/>
        </w:rPr>
        <w:t xml:space="preserve"> </w:t>
      </w:r>
      <w:r w:rsidRPr="003229D8">
        <w:rPr>
          <w:rFonts w:ascii="Book Antiqua" w:hAnsi="Book Antiqua"/>
          <w:sz w:val="24"/>
          <w:szCs w:val="24"/>
        </w:rPr>
        <w:t>Prothonotary electronically printed in any font.</w:t>
      </w:r>
    </w:p>
    <w:p w14:paraId="7B25D9BB" w14:textId="77777777" w:rsidR="00386D74" w:rsidRPr="00386D74" w:rsidRDefault="00386D74" w:rsidP="00F92097">
      <w:pPr>
        <w:pStyle w:val="ListParagraph"/>
        <w:spacing w:before="120" w:after="120"/>
        <w:jc w:val="both"/>
        <w:rPr>
          <w:rFonts w:ascii="Book Antiqua" w:hAnsi="Book Antiqua"/>
          <w:sz w:val="24"/>
          <w:szCs w:val="24"/>
        </w:rPr>
      </w:pPr>
    </w:p>
    <w:p w14:paraId="7B25D9BC" w14:textId="77777777" w:rsidR="00386D74" w:rsidRPr="007917BE" w:rsidRDefault="003229D8" w:rsidP="00386D74">
      <w:pPr>
        <w:pStyle w:val="Heading1"/>
        <w:spacing w:before="120" w:after="120"/>
        <w:rPr>
          <w:rFonts w:ascii="Book Antiqua" w:hAnsi="Book Antiqua"/>
          <w:szCs w:val="24"/>
        </w:rPr>
      </w:pPr>
      <w:r>
        <w:rPr>
          <w:rFonts w:ascii="Book Antiqua" w:hAnsi="Book Antiqua"/>
          <w:szCs w:val="24"/>
        </w:rPr>
        <w:lastRenderedPageBreak/>
        <w:t>PRACTITIONER ELECTRONIC SIGNATURE</w:t>
      </w:r>
    </w:p>
    <w:p w14:paraId="7B25D9BD" w14:textId="77777777" w:rsidR="003229D8" w:rsidRDefault="003229D8" w:rsidP="003229D8">
      <w:pPr>
        <w:pStyle w:val="ListParagraph"/>
        <w:numPr>
          <w:ilvl w:val="1"/>
          <w:numId w:val="24"/>
        </w:numPr>
        <w:spacing w:before="120" w:after="120"/>
        <w:ind w:left="720" w:hanging="720"/>
        <w:jc w:val="both"/>
        <w:rPr>
          <w:rFonts w:ascii="Book Antiqua" w:hAnsi="Book Antiqua"/>
          <w:sz w:val="24"/>
          <w:szCs w:val="24"/>
        </w:rPr>
      </w:pPr>
      <w:r w:rsidRPr="003229D8">
        <w:rPr>
          <w:rFonts w:ascii="Book Antiqua" w:hAnsi="Book Antiqua"/>
          <w:sz w:val="24"/>
          <w:szCs w:val="24"/>
        </w:rPr>
        <w:t>For the purposes of signature on RedCrest forms, including Civil Procedure Act Certifications, or any electronic document required to be signed pursuant to Rule 28A.08 of the RedCrest Rules, an electronic signature must be used.</w:t>
      </w:r>
      <w:r w:rsidR="00D94637">
        <w:rPr>
          <w:rFonts w:ascii="Book Antiqua" w:hAnsi="Book Antiqua"/>
          <w:sz w:val="24"/>
          <w:szCs w:val="24"/>
        </w:rPr>
        <w:t xml:space="preserve"> </w:t>
      </w:r>
      <w:r w:rsidRPr="003229D8">
        <w:rPr>
          <w:rFonts w:ascii="Book Antiqua" w:hAnsi="Book Antiqua"/>
          <w:sz w:val="24"/>
          <w:szCs w:val="24"/>
        </w:rPr>
        <w:t>The electronic signature of a practitioner may be that practitioner’s full name, preceded by ‘s/’.</w:t>
      </w:r>
    </w:p>
    <w:p w14:paraId="7B25D9BE" w14:textId="77777777" w:rsidR="00DC24A7" w:rsidRPr="007917BE" w:rsidRDefault="00DC24A7" w:rsidP="00CD0331">
      <w:pPr>
        <w:spacing w:before="120" w:after="120"/>
        <w:ind w:left="720" w:hanging="720"/>
        <w:jc w:val="both"/>
        <w:rPr>
          <w:rFonts w:ascii="Book Antiqua" w:hAnsi="Book Antiqua"/>
        </w:rPr>
      </w:pPr>
    </w:p>
    <w:p w14:paraId="7B25D9BF" w14:textId="77777777"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1184C36C" w14:textId="7E8A4D03" w:rsidR="00921EB7" w:rsidRDefault="00C8379F" w:rsidP="00137143">
      <w:pPr>
        <w:spacing w:before="120" w:after="120"/>
        <w:jc w:val="both"/>
        <w:rPr>
          <w:rFonts w:ascii="Book Antiqua" w:hAnsi="Book Antiqua"/>
        </w:rPr>
      </w:pPr>
      <w:r>
        <w:rPr>
          <w:rFonts w:ascii="Book Antiqua" w:hAnsi="Book Antiqua"/>
        </w:rPr>
        <w:t>21 December 2017</w:t>
      </w:r>
      <w:r w:rsidR="00921EB7">
        <w:rPr>
          <w:rFonts w:ascii="Book Antiqua" w:hAnsi="Book Antiqua"/>
        </w:rPr>
        <w:t>: This Pra</w:t>
      </w:r>
      <w:r>
        <w:rPr>
          <w:rFonts w:ascii="Book Antiqua" w:hAnsi="Book Antiqua"/>
        </w:rPr>
        <w:t>ctice Note was reissued on 21 December 2017 with effect from 2 J</w:t>
      </w:r>
      <w:r w:rsidR="00921EB7">
        <w:rPr>
          <w:rFonts w:ascii="Book Antiqua" w:hAnsi="Book Antiqua"/>
        </w:rPr>
        <w:t xml:space="preserve">anuary 2018 </w:t>
      </w:r>
      <w:r w:rsidR="00921EB7" w:rsidRPr="001613A4">
        <w:rPr>
          <w:rFonts w:ascii="Book Antiqua" w:hAnsi="Book Antiqua"/>
        </w:rPr>
        <w:t>and rep</w:t>
      </w:r>
      <w:r w:rsidR="00921EB7">
        <w:rPr>
          <w:rFonts w:ascii="Book Antiqua" w:hAnsi="Book Antiqua"/>
        </w:rPr>
        <w:t>laced former Practice Note SC CC</w:t>
      </w:r>
      <w:r w:rsidR="00921EB7" w:rsidRPr="001613A4">
        <w:rPr>
          <w:rFonts w:ascii="Book Antiqua" w:hAnsi="Book Antiqua"/>
        </w:rPr>
        <w:t xml:space="preserve"> </w:t>
      </w:r>
      <w:r w:rsidR="00921EB7">
        <w:rPr>
          <w:rFonts w:ascii="Book Antiqua" w:hAnsi="Book Antiqua"/>
        </w:rPr>
        <w:t>5</w:t>
      </w:r>
      <w:r w:rsidR="00921EB7" w:rsidRPr="001613A4">
        <w:rPr>
          <w:rFonts w:ascii="Book Antiqua" w:hAnsi="Book Antiqua"/>
        </w:rPr>
        <w:t xml:space="preserve"> which was issued on </w:t>
      </w:r>
      <w:r w:rsidR="00921EB7">
        <w:rPr>
          <w:rFonts w:ascii="Book Antiqua" w:hAnsi="Book Antiqua"/>
        </w:rPr>
        <w:t>12 April</w:t>
      </w:r>
      <w:r w:rsidR="00531D0C">
        <w:rPr>
          <w:rFonts w:ascii="Book Antiqua" w:hAnsi="Book Antiqua"/>
        </w:rPr>
        <w:t xml:space="preserve"> 2017</w:t>
      </w:r>
    </w:p>
    <w:p w14:paraId="7B25D9C0" w14:textId="5E5D59D8" w:rsidR="00137143" w:rsidRPr="007917BE" w:rsidRDefault="00B0356A" w:rsidP="00137143">
      <w:pPr>
        <w:spacing w:before="120" w:after="120"/>
        <w:jc w:val="both"/>
        <w:rPr>
          <w:rFonts w:ascii="Book Antiqua" w:hAnsi="Book Antiqua"/>
        </w:rPr>
      </w:pPr>
      <w:r>
        <w:rPr>
          <w:rFonts w:ascii="Book Antiqua" w:hAnsi="Book Antiqua"/>
        </w:rPr>
        <w:t>12</w:t>
      </w:r>
      <w:r w:rsidR="00031433">
        <w:rPr>
          <w:rFonts w:ascii="Book Antiqua" w:hAnsi="Book Antiqua"/>
        </w:rPr>
        <w:t xml:space="preserve"> </w:t>
      </w:r>
      <w:r w:rsidR="00137143">
        <w:rPr>
          <w:rFonts w:ascii="Book Antiqua" w:hAnsi="Book Antiqua"/>
        </w:rPr>
        <w:t xml:space="preserve">April 2017: This Practice Note was reissued on </w:t>
      </w:r>
      <w:r>
        <w:rPr>
          <w:rFonts w:ascii="Book Antiqua" w:hAnsi="Book Antiqua"/>
        </w:rPr>
        <w:t>12</w:t>
      </w:r>
      <w:r w:rsidR="00137143">
        <w:rPr>
          <w:rFonts w:ascii="Book Antiqua" w:hAnsi="Book Antiqua"/>
        </w:rPr>
        <w:t xml:space="preserve"> April 2017 with effect from 18 April 2017 </w:t>
      </w:r>
      <w:r w:rsidR="00137143" w:rsidRPr="001613A4">
        <w:rPr>
          <w:rFonts w:ascii="Book Antiqua" w:hAnsi="Book Antiqua"/>
        </w:rPr>
        <w:t>and rep</w:t>
      </w:r>
      <w:r w:rsidR="00137143">
        <w:rPr>
          <w:rFonts w:ascii="Book Antiqua" w:hAnsi="Book Antiqua"/>
        </w:rPr>
        <w:t>laced former Practice Note SC CC</w:t>
      </w:r>
      <w:r w:rsidR="00137143" w:rsidRPr="001613A4">
        <w:rPr>
          <w:rFonts w:ascii="Book Antiqua" w:hAnsi="Book Antiqua"/>
        </w:rPr>
        <w:t xml:space="preserve"> </w:t>
      </w:r>
      <w:r w:rsidR="00137143">
        <w:rPr>
          <w:rFonts w:ascii="Book Antiqua" w:hAnsi="Book Antiqua"/>
        </w:rPr>
        <w:t>5</w:t>
      </w:r>
      <w:r w:rsidR="00137143" w:rsidRPr="001613A4">
        <w:rPr>
          <w:rFonts w:ascii="Book Antiqua" w:hAnsi="Book Antiqua"/>
        </w:rPr>
        <w:t xml:space="preserve"> which was issued on </w:t>
      </w:r>
      <w:r w:rsidR="00137143">
        <w:rPr>
          <w:rFonts w:ascii="Book Antiqua" w:hAnsi="Book Antiqua"/>
        </w:rPr>
        <w:t>30 January 2017</w:t>
      </w:r>
    </w:p>
    <w:p w14:paraId="7B25D9C1" w14:textId="77777777" w:rsidR="00137143" w:rsidRPr="00277B7B" w:rsidRDefault="00137143" w:rsidP="00137143">
      <w:pPr>
        <w:spacing w:before="120" w:after="120"/>
        <w:jc w:val="both"/>
        <w:rPr>
          <w:rFonts w:ascii="Book Antiqua" w:hAnsi="Book Antiqua"/>
        </w:rPr>
      </w:pPr>
      <w:r>
        <w:rPr>
          <w:rFonts w:ascii="Book Antiqua" w:hAnsi="Book Antiqua"/>
        </w:rPr>
        <w:t>30</w:t>
      </w:r>
      <w:r w:rsidRPr="00277B7B">
        <w:rPr>
          <w:rFonts w:ascii="Book Antiqua" w:hAnsi="Book Antiqua"/>
        </w:rPr>
        <w:t xml:space="preserve"> J</w:t>
      </w:r>
      <w:r>
        <w:rPr>
          <w:rFonts w:ascii="Book Antiqua" w:hAnsi="Book Antiqua"/>
        </w:rPr>
        <w:t>anuary</w:t>
      </w:r>
      <w:r w:rsidRPr="00277B7B">
        <w:rPr>
          <w:rFonts w:ascii="Book Antiqua" w:hAnsi="Book Antiqua"/>
        </w:rPr>
        <w:t xml:space="preserve"> 201</w:t>
      </w:r>
      <w:r>
        <w:rPr>
          <w:rFonts w:ascii="Book Antiqua" w:hAnsi="Book Antiqua"/>
        </w:rPr>
        <w:t>7</w:t>
      </w:r>
      <w:r w:rsidRPr="00277B7B">
        <w:rPr>
          <w:rFonts w:ascii="Book Antiqua" w:hAnsi="Book Antiqua"/>
        </w:rPr>
        <w:t>: This Practice Note</w:t>
      </w:r>
      <w:r>
        <w:rPr>
          <w:rFonts w:ascii="Book Antiqua" w:hAnsi="Book Antiqua"/>
        </w:rPr>
        <w:t xml:space="preserve"> was issued on 30 January 2017 and </w:t>
      </w:r>
      <w:r w:rsidRPr="00277B7B">
        <w:rPr>
          <w:rFonts w:ascii="Book Antiqua" w:hAnsi="Book Antiqua"/>
        </w:rPr>
        <w:t>replace</w:t>
      </w:r>
      <w:r>
        <w:rPr>
          <w:rFonts w:ascii="Book Antiqua" w:hAnsi="Book Antiqua"/>
        </w:rPr>
        <w:t>d</w:t>
      </w:r>
      <w:r w:rsidRPr="00277B7B">
        <w:rPr>
          <w:rFonts w:ascii="Book Antiqua" w:hAnsi="Book Antiqua"/>
        </w:rPr>
        <w:t xml:space="preserve"> Practice Note</w:t>
      </w:r>
      <w:r>
        <w:rPr>
          <w:rFonts w:ascii="Book Antiqua" w:hAnsi="Book Antiqua"/>
        </w:rPr>
        <w:t xml:space="preserve"> </w:t>
      </w:r>
      <w:r w:rsidRPr="00277B7B">
        <w:rPr>
          <w:rFonts w:ascii="Book Antiqua" w:hAnsi="Book Antiqua"/>
        </w:rPr>
        <w:t xml:space="preserve">No </w:t>
      </w:r>
      <w:r>
        <w:rPr>
          <w:rFonts w:ascii="Book Antiqua" w:hAnsi="Book Antiqua"/>
        </w:rPr>
        <w:t>3</w:t>
      </w:r>
      <w:r w:rsidRPr="00277B7B">
        <w:rPr>
          <w:rFonts w:ascii="Book Antiqua" w:hAnsi="Book Antiqua"/>
        </w:rPr>
        <w:t xml:space="preserve"> of 201</w:t>
      </w:r>
      <w:r>
        <w:rPr>
          <w:rFonts w:ascii="Book Antiqua" w:hAnsi="Book Antiqua"/>
        </w:rPr>
        <w:t>4</w:t>
      </w:r>
    </w:p>
    <w:p w14:paraId="7B25D9C2" w14:textId="77777777" w:rsidR="00137143" w:rsidRPr="007917BE" w:rsidRDefault="00137143" w:rsidP="00137143">
      <w:pPr>
        <w:spacing w:before="120" w:after="120"/>
        <w:ind w:left="720" w:hanging="720"/>
        <w:jc w:val="both"/>
        <w:rPr>
          <w:rFonts w:ascii="Book Antiqua" w:hAnsi="Book Antiqua"/>
        </w:rPr>
      </w:pPr>
    </w:p>
    <w:p w14:paraId="7B25D9C3" w14:textId="77777777" w:rsidR="00137143" w:rsidRPr="007917BE" w:rsidRDefault="00137143" w:rsidP="00137143">
      <w:pPr>
        <w:spacing w:before="120" w:after="120"/>
        <w:ind w:left="720" w:hanging="720"/>
        <w:jc w:val="right"/>
        <w:rPr>
          <w:rFonts w:ascii="Book Antiqua" w:hAnsi="Book Antiqua"/>
        </w:rPr>
      </w:pPr>
      <w:r w:rsidRPr="007D242B">
        <w:rPr>
          <w:rFonts w:ascii="Book Antiqua" w:hAnsi="Book Antiqua"/>
        </w:rPr>
        <w:t>Vivienne Macgillivray</w:t>
      </w:r>
    </w:p>
    <w:p w14:paraId="7B25D9C4" w14:textId="77777777" w:rsidR="00137143" w:rsidRPr="007917BE" w:rsidRDefault="00137143" w:rsidP="00137143">
      <w:pPr>
        <w:spacing w:before="120" w:after="120"/>
        <w:ind w:left="720" w:hanging="720"/>
        <w:jc w:val="right"/>
        <w:rPr>
          <w:rFonts w:ascii="Book Antiqua" w:hAnsi="Book Antiqua"/>
        </w:rPr>
      </w:pPr>
      <w:r w:rsidRPr="007917BE">
        <w:rPr>
          <w:rFonts w:ascii="Book Antiqua" w:hAnsi="Book Antiqua"/>
        </w:rPr>
        <w:t>Executive Associate to the Chief Justice</w:t>
      </w:r>
    </w:p>
    <w:p w14:paraId="7B25D9C5" w14:textId="349F59CB" w:rsidR="00137143" w:rsidRPr="007917BE" w:rsidRDefault="00C8379F" w:rsidP="00137143">
      <w:pPr>
        <w:spacing w:before="120" w:after="120"/>
        <w:ind w:left="720" w:hanging="720"/>
        <w:jc w:val="right"/>
        <w:rPr>
          <w:rFonts w:ascii="Book Antiqua" w:hAnsi="Book Antiqua"/>
        </w:rPr>
      </w:pPr>
      <w:r>
        <w:rPr>
          <w:rFonts w:ascii="Book Antiqua" w:hAnsi="Book Antiqua"/>
        </w:rPr>
        <w:t>21 December 2017</w:t>
      </w:r>
    </w:p>
    <w:p w14:paraId="7B25D9C6" w14:textId="77777777" w:rsidR="00AE2854" w:rsidRDefault="00AE2854">
      <w:pPr>
        <w:rPr>
          <w:rFonts w:ascii="Book Antiqua" w:hAnsi="Book Antiqua"/>
        </w:rPr>
      </w:pPr>
      <w:r>
        <w:rPr>
          <w:rFonts w:ascii="Book Antiqua" w:hAnsi="Book Antiqua"/>
        </w:rPr>
        <w:br w:type="page"/>
      </w:r>
    </w:p>
    <w:p w14:paraId="7B25D9C7" w14:textId="77777777" w:rsidR="00AE2854" w:rsidRPr="00AE2854" w:rsidRDefault="00AE2854" w:rsidP="00AE2854">
      <w:pPr>
        <w:pStyle w:val="Style1"/>
        <w:tabs>
          <w:tab w:val="clear" w:pos="0"/>
        </w:tabs>
        <w:ind w:left="0" w:firstLine="0"/>
        <w:jc w:val="center"/>
        <w:outlineLvl w:val="3"/>
        <w:rPr>
          <w:rFonts w:ascii="Book Antiqua" w:hAnsi="Book Antiqua"/>
        </w:rPr>
      </w:pPr>
      <w:bookmarkStart w:id="1" w:name="_Toc247002826"/>
      <w:bookmarkStart w:id="2" w:name="_Toc302652688"/>
      <w:r w:rsidRPr="00AE2854">
        <w:rPr>
          <w:rFonts w:ascii="Book Antiqua" w:hAnsi="Book Antiqua"/>
          <w:caps w:val="0"/>
        </w:rPr>
        <w:lastRenderedPageBreak/>
        <w:t>SCHEDULE 1</w:t>
      </w:r>
      <w:r w:rsidRPr="00AE2854">
        <w:rPr>
          <w:rFonts w:ascii="Book Antiqua" w:hAnsi="Book Antiqua"/>
          <w:caps w:val="0"/>
        </w:rPr>
        <w:br/>
      </w:r>
      <w:r w:rsidRPr="00AE2854">
        <w:rPr>
          <w:rFonts w:ascii="Book Antiqua" w:hAnsi="Book Antiqua"/>
          <w:caps w:val="0"/>
          <w:smallCaps/>
        </w:rPr>
        <w:t>Heading To Proceedings In The Commercial Court</w:t>
      </w:r>
      <w:bookmarkEnd w:id="1"/>
      <w:bookmarkEnd w:id="2"/>
      <w:r w:rsidRPr="00AE2854">
        <w:rPr>
          <w:rFonts w:ascii="Book Antiqua" w:hAnsi="Book Antiqua"/>
          <w:caps w:val="0"/>
          <w:smallCaps/>
        </w:rPr>
        <w:br/>
      </w:r>
    </w:p>
    <w:p w14:paraId="7B25D9C8" w14:textId="77777777" w:rsidR="00AE2854" w:rsidRPr="00AE2854" w:rsidRDefault="00AE2854" w:rsidP="00AE2854">
      <w:pPr>
        <w:ind w:left="709" w:hanging="709"/>
        <w:jc w:val="center"/>
        <w:rPr>
          <w:rFonts w:ascii="Book Antiqua" w:hAnsi="Book Antiqua"/>
        </w:rPr>
      </w:pPr>
      <w:r w:rsidRPr="00AE2854">
        <w:rPr>
          <w:rFonts w:ascii="Book Antiqua" w:hAnsi="Book Antiqua"/>
        </w:rPr>
        <w:t xml:space="preserve"> [Non-Corporations Proceeding]</w:t>
      </w:r>
    </w:p>
    <w:p w14:paraId="7B25D9C9" w14:textId="77777777" w:rsidR="00AE2854" w:rsidRPr="00AE2854" w:rsidRDefault="00AE2854" w:rsidP="00AE2854">
      <w:pPr>
        <w:ind w:left="709" w:hanging="709"/>
        <w:jc w:val="both"/>
        <w:rPr>
          <w:rFonts w:ascii="Book Antiqua" w:hAnsi="Book Antiqua"/>
        </w:rPr>
      </w:pPr>
    </w:p>
    <w:p w14:paraId="7B25D9CA" w14:textId="77777777" w:rsidR="00AE2854" w:rsidRPr="00AE2854" w:rsidRDefault="00AE2854" w:rsidP="00AE2854">
      <w:pPr>
        <w:ind w:left="706" w:hanging="706"/>
        <w:jc w:val="both"/>
        <w:rPr>
          <w:rFonts w:ascii="Book Antiqua" w:hAnsi="Book Antiqua"/>
        </w:rPr>
      </w:pPr>
      <w:r w:rsidRPr="00AE2854">
        <w:rPr>
          <w:rFonts w:ascii="Book Antiqua" w:hAnsi="Book Antiqua"/>
        </w:rPr>
        <w:t xml:space="preserve">IN THE SUPREME COURT OF VICTORIA </w:t>
      </w:r>
    </w:p>
    <w:p w14:paraId="7B25D9CB" w14:textId="77777777" w:rsidR="00AE2854" w:rsidRPr="00AE2854" w:rsidRDefault="00AE2854" w:rsidP="00AE2854">
      <w:pPr>
        <w:ind w:left="706" w:hanging="706"/>
        <w:jc w:val="both"/>
        <w:rPr>
          <w:rFonts w:ascii="Book Antiqua" w:hAnsi="Book Antiqua"/>
        </w:rPr>
      </w:pPr>
      <w:r w:rsidRPr="00AE2854">
        <w:rPr>
          <w:rFonts w:ascii="Book Antiqua" w:hAnsi="Book Antiqua"/>
        </w:rPr>
        <w:t>AT MELBOURNE</w:t>
      </w:r>
    </w:p>
    <w:p w14:paraId="7B25D9CC" w14:textId="77777777" w:rsidR="00AE2854" w:rsidRPr="00AE2854" w:rsidRDefault="00AE2854" w:rsidP="00AE2854">
      <w:pPr>
        <w:ind w:left="706" w:hanging="706"/>
        <w:jc w:val="both"/>
        <w:rPr>
          <w:rFonts w:ascii="Book Antiqua" w:hAnsi="Book Antiqua"/>
        </w:rPr>
      </w:pPr>
      <w:r w:rsidRPr="00AE2854">
        <w:rPr>
          <w:rFonts w:ascii="Book Antiqua" w:hAnsi="Book Antiqua"/>
        </w:rPr>
        <w:t>COMMERCIAL COURT</w:t>
      </w:r>
    </w:p>
    <w:p w14:paraId="7B25D9CD" w14:textId="7EFB9CEB" w:rsidR="00AE2854" w:rsidRPr="00AE2854" w:rsidRDefault="00AE2854" w:rsidP="00AE2854">
      <w:pPr>
        <w:ind w:left="706" w:hanging="706"/>
        <w:jc w:val="both"/>
        <w:rPr>
          <w:rFonts w:ascii="Book Antiqua" w:hAnsi="Book Antiqua"/>
          <w:i/>
        </w:rPr>
      </w:pPr>
      <w:r w:rsidRPr="00AE2854">
        <w:rPr>
          <w:rFonts w:ascii="Book Antiqua" w:hAnsi="Book Antiqua"/>
        </w:rPr>
        <w:t>LIST: [</w:t>
      </w:r>
      <w:r w:rsidRPr="00AE2854">
        <w:rPr>
          <w:rFonts w:ascii="Book Antiqua" w:hAnsi="Book Antiqua"/>
          <w:i/>
        </w:rPr>
        <w:t>insert List as appropriate, e.g. Commercial List</w:t>
      </w:r>
      <w:r w:rsidR="006170C4">
        <w:rPr>
          <w:rFonts w:ascii="Book Antiqua" w:hAnsi="Book Antiqua"/>
          <w:i/>
        </w:rPr>
        <w:t>,</w:t>
      </w:r>
    </w:p>
    <w:p w14:paraId="5A477857" w14:textId="60448262" w:rsidR="006170C4" w:rsidRDefault="00AE2854" w:rsidP="008C21D8">
      <w:pPr>
        <w:jc w:val="both"/>
        <w:rPr>
          <w:rFonts w:ascii="Book Antiqua" w:hAnsi="Book Antiqua"/>
          <w:i/>
        </w:rPr>
      </w:pPr>
      <w:r w:rsidRPr="00AE2854">
        <w:rPr>
          <w:rFonts w:ascii="Book Antiqua" w:hAnsi="Book Antiqua"/>
          <w:i/>
        </w:rPr>
        <w:t>TEC List</w:t>
      </w:r>
      <w:r w:rsidR="00F1326F">
        <w:rPr>
          <w:rFonts w:ascii="Book Antiqua" w:hAnsi="Book Antiqua"/>
          <w:i/>
        </w:rPr>
        <w:t xml:space="preserve">, </w:t>
      </w:r>
      <w:r w:rsidRPr="00AE2854">
        <w:rPr>
          <w:rFonts w:ascii="Book Antiqua" w:hAnsi="Book Antiqua"/>
          <w:i/>
        </w:rPr>
        <w:t>Intellectual Property List</w:t>
      </w:r>
      <w:r w:rsidR="00662A41">
        <w:rPr>
          <w:rFonts w:ascii="Book Antiqua" w:hAnsi="Book Antiqua"/>
          <w:i/>
        </w:rPr>
        <w:t xml:space="preserve">, </w:t>
      </w:r>
      <w:r w:rsidR="00F1326F">
        <w:rPr>
          <w:rFonts w:ascii="Book Antiqua" w:hAnsi="Book Antiqua"/>
          <w:i/>
        </w:rPr>
        <w:t>Insurance List</w:t>
      </w:r>
      <w:r w:rsidR="006170C4">
        <w:rPr>
          <w:rFonts w:ascii="Book Antiqua" w:hAnsi="Book Antiqua"/>
          <w:i/>
        </w:rPr>
        <w:t xml:space="preserve">, </w:t>
      </w:r>
    </w:p>
    <w:p w14:paraId="7B25D9CE" w14:textId="02E0778D" w:rsidR="00AE2854" w:rsidRPr="00AE2854" w:rsidRDefault="006170C4" w:rsidP="008C21D8">
      <w:pPr>
        <w:jc w:val="both"/>
        <w:rPr>
          <w:rFonts w:ascii="Book Antiqua" w:hAnsi="Book Antiqua"/>
        </w:rPr>
      </w:pPr>
      <w:r>
        <w:rPr>
          <w:rFonts w:ascii="Book Antiqua" w:hAnsi="Book Antiqua"/>
          <w:i/>
        </w:rPr>
        <w:t>Admiralty List, Arbitration List or Taxation List</w:t>
      </w:r>
      <w:r w:rsidR="00AE2854" w:rsidRPr="00AE2854">
        <w:rPr>
          <w:rFonts w:ascii="Book Antiqua" w:hAnsi="Book Antiqua"/>
        </w:rPr>
        <w:t>]</w:t>
      </w:r>
    </w:p>
    <w:p w14:paraId="7B25D9CF" w14:textId="77777777" w:rsidR="00AE2854" w:rsidRPr="00AE2854" w:rsidRDefault="00AE2854" w:rsidP="00AE2854">
      <w:pPr>
        <w:ind w:left="709" w:right="203" w:hanging="709"/>
        <w:jc w:val="right"/>
        <w:rPr>
          <w:rFonts w:ascii="Book Antiqua" w:hAnsi="Book Antiqua"/>
        </w:rPr>
      </w:pPr>
      <w:r w:rsidRPr="00AE2854">
        <w:rPr>
          <w:rFonts w:ascii="Book Antiqua" w:hAnsi="Book Antiqua"/>
        </w:rPr>
        <w:t xml:space="preserve"> </w:t>
      </w:r>
    </w:p>
    <w:p w14:paraId="7B25D9D0" w14:textId="77777777" w:rsidR="00AE2854" w:rsidRPr="00AE2854" w:rsidRDefault="00AE2854" w:rsidP="00AE2854">
      <w:pPr>
        <w:ind w:left="709" w:hanging="709"/>
        <w:jc w:val="both"/>
        <w:rPr>
          <w:rFonts w:ascii="Book Antiqua" w:hAnsi="Book Antiqua"/>
          <w:b/>
        </w:rPr>
      </w:pPr>
      <w:r w:rsidRPr="00AE2854">
        <w:rPr>
          <w:rFonts w:ascii="Book Antiqua" w:hAnsi="Book Antiqua"/>
          <w:spacing w:val="30"/>
        </w:rPr>
        <w:t>BETWEEN</w:t>
      </w:r>
      <w:r w:rsidRPr="00AE2854">
        <w:rPr>
          <w:rFonts w:ascii="Book Antiqua" w:hAnsi="Book Antiqua"/>
        </w:rPr>
        <w:t>:</w:t>
      </w:r>
    </w:p>
    <w:tbl>
      <w:tblPr>
        <w:tblW w:w="9288" w:type="dxa"/>
        <w:tblLayout w:type="fixed"/>
        <w:tblLook w:val="0000" w:firstRow="0" w:lastRow="0" w:firstColumn="0" w:lastColumn="0" w:noHBand="0" w:noVBand="0"/>
      </w:tblPr>
      <w:tblGrid>
        <w:gridCol w:w="6048"/>
        <w:gridCol w:w="3240"/>
      </w:tblGrid>
      <w:tr w:rsidR="00AE2854" w:rsidRPr="00AE2854" w14:paraId="7B25D9D3" w14:textId="77777777" w:rsidTr="00BE01DE">
        <w:tc>
          <w:tcPr>
            <w:tcW w:w="6048" w:type="dxa"/>
            <w:shd w:val="clear" w:color="auto" w:fill="auto"/>
          </w:tcPr>
          <w:p w14:paraId="7B25D9D1" w14:textId="77777777" w:rsidR="00AE2854" w:rsidRPr="00AE2854" w:rsidRDefault="00AE2854" w:rsidP="00BE01DE">
            <w:pPr>
              <w:pStyle w:val="Normal-Cover"/>
              <w:widowControl/>
              <w:rPr>
                <w:szCs w:val="24"/>
              </w:rPr>
            </w:pPr>
            <w:r w:rsidRPr="00AE2854">
              <w:rPr>
                <w:szCs w:val="24"/>
              </w:rPr>
              <w:t>#</w:t>
            </w:r>
          </w:p>
        </w:tc>
        <w:tc>
          <w:tcPr>
            <w:tcW w:w="3240" w:type="dxa"/>
            <w:shd w:val="clear" w:color="auto" w:fill="auto"/>
          </w:tcPr>
          <w:p w14:paraId="7B25D9D2" w14:textId="77777777" w:rsidR="00AE2854" w:rsidRPr="00AE2854" w:rsidRDefault="00AE2854" w:rsidP="00BE01DE">
            <w:pPr>
              <w:jc w:val="right"/>
              <w:rPr>
                <w:rFonts w:ascii="Book Antiqua" w:hAnsi="Book Antiqua"/>
              </w:rPr>
            </w:pPr>
            <w:r w:rsidRPr="00AE2854">
              <w:rPr>
                <w:rFonts w:ascii="Book Antiqua" w:hAnsi="Book Antiqua"/>
              </w:rPr>
              <w:t>Plaintiff</w:t>
            </w:r>
          </w:p>
        </w:tc>
      </w:tr>
      <w:tr w:rsidR="00AE2854" w:rsidRPr="00AE2854" w14:paraId="7B25D9D6" w14:textId="77777777" w:rsidTr="00BE01DE">
        <w:tc>
          <w:tcPr>
            <w:tcW w:w="6048" w:type="dxa"/>
            <w:shd w:val="clear" w:color="auto" w:fill="auto"/>
          </w:tcPr>
          <w:p w14:paraId="7B25D9D4" w14:textId="77777777" w:rsidR="00AE2854" w:rsidRPr="00AE2854" w:rsidRDefault="00AE2854" w:rsidP="00BE01DE">
            <w:pPr>
              <w:pStyle w:val="Normal-Cover"/>
              <w:widowControl/>
              <w:jc w:val="both"/>
              <w:rPr>
                <w:szCs w:val="24"/>
              </w:rPr>
            </w:pPr>
            <w:r w:rsidRPr="00AE2854">
              <w:rPr>
                <w:szCs w:val="24"/>
              </w:rPr>
              <w:t>- and -</w:t>
            </w:r>
          </w:p>
        </w:tc>
        <w:tc>
          <w:tcPr>
            <w:tcW w:w="3240" w:type="dxa"/>
            <w:shd w:val="clear" w:color="auto" w:fill="auto"/>
          </w:tcPr>
          <w:p w14:paraId="7B25D9D5" w14:textId="77777777" w:rsidR="00AE2854" w:rsidRPr="00AE2854" w:rsidRDefault="00AE2854" w:rsidP="00BE01DE">
            <w:pPr>
              <w:rPr>
                <w:rFonts w:ascii="Book Antiqua" w:hAnsi="Book Antiqua"/>
              </w:rPr>
            </w:pPr>
          </w:p>
        </w:tc>
      </w:tr>
      <w:tr w:rsidR="00AE2854" w:rsidRPr="00AE2854" w14:paraId="7B25D9D9" w14:textId="77777777" w:rsidTr="00BE01DE">
        <w:tc>
          <w:tcPr>
            <w:tcW w:w="6048" w:type="dxa"/>
            <w:shd w:val="clear" w:color="auto" w:fill="auto"/>
          </w:tcPr>
          <w:p w14:paraId="7B25D9D7" w14:textId="77777777" w:rsidR="00AE2854" w:rsidRPr="00AE2854" w:rsidRDefault="00AE2854" w:rsidP="00BE01DE">
            <w:pPr>
              <w:pStyle w:val="Normal-Cover"/>
              <w:widowControl/>
              <w:rPr>
                <w:szCs w:val="24"/>
              </w:rPr>
            </w:pPr>
            <w:r w:rsidRPr="00AE2854">
              <w:rPr>
                <w:szCs w:val="24"/>
              </w:rPr>
              <w:t>#</w:t>
            </w:r>
          </w:p>
        </w:tc>
        <w:tc>
          <w:tcPr>
            <w:tcW w:w="3240" w:type="dxa"/>
            <w:shd w:val="clear" w:color="auto" w:fill="auto"/>
          </w:tcPr>
          <w:p w14:paraId="7B25D9D8" w14:textId="77777777" w:rsidR="00AE2854" w:rsidRPr="00AE2854" w:rsidRDefault="00AE2854" w:rsidP="00BE01DE">
            <w:pPr>
              <w:tabs>
                <w:tab w:val="left" w:pos="756"/>
              </w:tabs>
              <w:jc w:val="right"/>
              <w:rPr>
                <w:rFonts w:ascii="Book Antiqua" w:hAnsi="Book Antiqua"/>
              </w:rPr>
            </w:pPr>
            <w:r w:rsidRPr="00AE2854">
              <w:rPr>
                <w:rFonts w:ascii="Book Antiqua" w:hAnsi="Book Antiqua"/>
              </w:rPr>
              <w:t>Defendant</w:t>
            </w:r>
          </w:p>
        </w:tc>
      </w:tr>
    </w:tbl>
    <w:p w14:paraId="7B25D9DA" w14:textId="77777777" w:rsidR="00AE2854" w:rsidRPr="00AE2854" w:rsidRDefault="00AE2854" w:rsidP="00AE2854">
      <w:pPr>
        <w:autoSpaceDE w:val="0"/>
        <w:autoSpaceDN w:val="0"/>
        <w:adjustRightInd w:val="0"/>
        <w:jc w:val="center"/>
        <w:rPr>
          <w:rFonts w:ascii="Book Antiqua" w:hAnsi="Book Antiqua"/>
        </w:rPr>
      </w:pPr>
    </w:p>
    <w:p w14:paraId="7B25D9DB" w14:textId="77777777" w:rsidR="00AE2854" w:rsidRPr="00AE2854" w:rsidRDefault="00AE2854" w:rsidP="00AE2854">
      <w:pPr>
        <w:autoSpaceDE w:val="0"/>
        <w:autoSpaceDN w:val="0"/>
        <w:adjustRightInd w:val="0"/>
        <w:jc w:val="center"/>
        <w:rPr>
          <w:rFonts w:ascii="Book Antiqua" w:hAnsi="Book Antiqua"/>
        </w:rPr>
      </w:pPr>
    </w:p>
    <w:p w14:paraId="7B25D9DC" w14:textId="77777777" w:rsidR="00AE2854" w:rsidRPr="00AE2854" w:rsidRDefault="00AE2854" w:rsidP="00AE2854">
      <w:pPr>
        <w:autoSpaceDE w:val="0"/>
        <w:autoSpaceDN w:val="0"/>
        <w:adjustRightInd w:val="0"/>
        <w:jc w:val="center"/>
        <w:rPr>
          <w:rFonts w:ascii="Book Antiqua" w:hAnsi="Book Antiqua"/>
        </w:rPr>
      </w:pPr>
    </w:p>
    <w:p w14:paraId="7B25D9DD" w14:textId="77777777" w:rsidR="00AE2854" w:rsidRPr="00AE2854" w:rsidRDefault="00AE2854" w:rsidP="00AE2854">
      <w:pPr>
        <w:autoSpaceDE w:val="0"/>
        <w:autoSpaceDN w:val="0"/>
        <w:adjustRightInd w:val="0"/>
        <w:jc w:val="center"/>
        <w:rPr>
          <w:rFonts w:ascii="Book Antiqua" w:hAnsi="Book Antiqua"/>
        </w:rPr>
      </w:pPr>
      <w:r w:rsidRPr="00AE2854">
        <w:rPr>
          <w:rFonts w:ascii="Book Antiqua" w:hAnsi="Book Antiqua"/>
        </w:rPr>
        <w:t>---------------------------------------</w:t>
      </w:r>
    </w:p>
    <w:p w14:paraId="7B25D9DE" w14:textId="77777777" w:rsidR="00AE2854" w:rsidRPr="00AE2854" w:rsidRDefault="00AE2854" w:rsidP="00AE2854">
      <w:pPr>
        <w:autoSpaceDE w:val="0"/>
        <w:autoSpaceDN w:val="0"/>
        <w:adjustRightInd w:val="0"/>
        <w:ind w:left="3311"/>
        <w:rPr>
          <w:rFonts w:ascii="Book Antiqua" w:hAnsi="Book Antiqua"/>
        </w:rPr>
      </w:pPr>
    </w:p>
    <w:p w14:paraId="7B25D9DF" w14:textId="77777777" w:rsidR="00AE2854" w:rsidRPr="00AE2854" w:rsidRDefault="00AE2854" w:rsidP="00AE2854">
      <w:pPr>
        <w:autoSpaceDE w:val="0"/>
        <w:autoSpaceDN w:val="0"/>
        <w:adjustRightInd w:val="0"/>
        <w:ind w:left="3311"/>
        <w:rPr>
          <w:rFonts w:ascii="Book Antiqua" w:hAnsi="Book Antiqua"/>
        </w:rPr>
      </w:pPr>
      <w:r w:rsidRPr="00AE2854">
        <w:rPr>
          <w:rFonts w:ascii="Book Antiqua" w:hAnsi="Book Antiqua"/>
        </w:rPr>
        <w:t>[Corporations Proceeding]</w:t>
      </w:r>
    </w:p>
    <w:p w14:paraId="7B25D9E0" w14:textId="77777777" w:rsidR="00AE2854" w:rsidRPr="00AE2854" w:rsidRDefault="00AE2854" w:rsidP="00AE2854">
      <w:pPr>
        <w:autoSpaceDE w:val="0"/>
        <w:autoSpaceDN w:val="0"/>
        <w:adjustRightInd w:val="0"/>
        <w:ind w:left="3311"/>
        <w:rPr>
          <w:rFonts w:ascii="Book Antiqua" w:hAnsi="Book Antiqua"/>
        </w:rPr>
      </w:pPr>
    </w:p>
    <w:p w14:paraId="7B25D9E1" w14:textId="77777777" w:rsidR="00AE2854" w:rsidRPr="00AE2854" w:rsidRDefault="00AE2854" w:rsidP="00AE2854">
      <w:pPr>
        <w:rPr>
          <w:rFonts w:ascii="Book Antiqua" w:hAnsi="Book Antiqua"/>
          <w:caps/>
        </w:rPr>
      </w:pPr>
      <w:r w:rsidRPr="00AE2854">
        <w:rPr>
          <w:rFonts w:ascii="Book Antiqua" w:hAnsi="Book Antiqua"/>
          <w:caps/>
        </w:rPr>
        <w:t xml:space="preserve">IN THE SUPREME COURT OF VICTORIA </w:t>
      </w:r>
    </w:p>
    <w:p w14:paraId="7B25D9E2" w14:textId="77777777" w:rsidR="00AE2854" w:rsidRPr="00AE2854" w:rsidRDefault="00AE2854" w:rsidP="00AE2854">
      <w:pPr>
        <w:rPr>
          <w:rFonts w:ascii="Book Antiqua" w:hAnsi="Book Antiqua"/>
          <w:caps/>
        </w:rPr>
      </w:pPr>
      <w:r w:rsidRPr="00AE2854">
        <w:rPr>
          <w:rFonts w:ascii="Book Antiqua" w:hAnsi="Book Antiqua"/>
          <w:caps/>
        </w:rPr>
        <w:t>AT MELBOURNE</w:t>
      </w:r>
    </w:p>
    <w:p w14:paraId="7B25D9E3" w14:textId="77777777" w:rsidR="00AE2854" w:rsidRPr="00AE2854" w:rsidRDefault="00AE2854" w:rsidP="00AE2854">
      <w:pPr>
        <w:rPr>
          <w:rFonts w:ascii="Book Antiqua" w:hAnsi="Book Antiqua"/>
          <w:caps/>
        </w:rPr>
      </w:pPr>
      <w:r w:rsidRPr="00AE2854">
        <w:rPr>
          <w:rFonts w:ascii="Book Antiqua" w:hAnsi="Book Antiqua"/>
          <w:caps/>
        </w:rPr>
        <w:t>Commercial COURT</w:t>
      </w:r>
    </w:p>
    <w:p w14:paraId="7B25D9E4" w14:textId="77777777" w:rsidR="00AE2854" w:rsidRPr="00AE2854" w:rsidRDefault="0055017B" w:rsidP="00AE2854">
      <w:pPr>
        <w:rPr>
          <w:rFonts w:ascii="Book Antiqua" w:hAnsi="Book Antiqua"/>
          <w:caps/>
        </w:rPr>
      </w:pPr>
      <w:r>
        <w:rPr>
          <w:rFonts w:ascii="Book Antiqua" w:hAnsi="Book Antiqua"/>
          <w:caps/>
        </w:rPr>
        <w:t xml:space="preserve">REDCREST </w:t>
      </w:r>
      <w:r w:rsidR="00AE2854" w:rsidRPr="00C61F87">
        <w:rPr>
          <w:rFonts w:ascii="Book Antiqua" w:hAnsi="Book Antiqua"/>
          <w:caps/>
        </w:rPr>
        <w:t>Corporations</w:t>
      </w:r>
      <w:r w:rsidR="00AE2854" w:rsidRPr="00AE2854">
        <w:rPr>
          <w:rFonts w:ascii="Book Antiqua" w:hAnsi="Book Antiqua"/>
          <w:caps/>
        </w:rPr>
        <w:t xml:space="preserve"> list</w:t>
      </w:r>
    </w:p>
    <w:p w14:paraId="7B25D9E5" w14:textId="77777777" w:rsidR="00AE2854" w:rsidRPr="00AE2854" w:rsidRDefault="00AE2854" w:rsidP="00AE2854">
      <w:pPr>
        <w:ind w:left="709" w:right="203" w:hanging="709"/>
        <w:jc w:val="right"/>
        <w:rPr>
          <w:rFonts w:ascii="Book Antiqua" w:hAnsi="Book Antiqua"/>
        </w:rPr>
      </w:pPr>
    </w:p>
    <w:p w14:paraId="7B25D9E6" w14:textId="77777777" w:rsidR="00AE2854" w:rsidRPr="00AE2854" w:rsidRDefault="00AE2854" w:rsidP="00AE2854">
      <w:pPr>
        <w:autoSpaceDE w:val="0"/>
        <w:autoSpaceDN w:val="0"/>
        <w:adjustRightInd w:val="0"/>
        <w:jc w:val="right"/>
        <w:rPr>
          <w:rFonts w:ascii="Book Antiqua" w:hAnsi="Book Antiqua"/>
        </w:rPr>
      </w:pPr>
    </w:p>
    <w:p w14:paraId="7B25D9E7" w14:textId="77777777" w:rsidR="00AE2854" w:rsidRPr="00AE2854" w:rsidRDefault="00AE2854" w:rsidP="00AE2854">
      <w:pPr>
        <w:autoSpaceDE w:val="0"/>
        <w:autoSpaceDN w:val="0"/>
        <w:adjustRightInd w:val="0"/>
        <w:rPr>
          <w:rFonts w:ascii="Book Antiqua" w:hAnsi="Book Antiqua"/>
        </w:rPr>
      </w:pPr>
      <w:r w:rsidRPr="00AE2854">
        <w:rPr>
          <w:rFonts w:ascii="Book Antiqua" w:hAnsi="Book Antiqua"/>
        </w:rPr>
        <w:t>IN THE MATTER OF XY Pty Ltd (ACN 111 111 111)</w:t>
      </w:r>
    </w:p>
    <w:p w14:paraId="7B25D9E8" w14:textId="77777777" w:rsidR="00AE2854" w:rsidRPr="00AE2854" w:rsidRDefault="00AE2854" w:rsidP="00AE2854">
      <w:pPr>
        <w:ind w:left="709" w:hanging="709"/>
        <w:rPr>
          <w:rFonts w:ascii="Book Antiqua" w:hAnsi="Book Antiqua"/>
        </w:rPr>
      </w:pPr>
    </w:p>
    <w:p w14:paraId="7B25D9E9" w14:textId="77777777" w:rsidR="00AE2854" w:rsidRPr="00AE2854" w:rsidRDefault="00AE2854" w:rsidP="00AE2854">
      <w:pPr>
        <w:ind w:left="709" w:hanging="709"/>
        <w:rPr>
          <w:rFonts w:ascii="Book Antiqua" w:hAnsi="Book Antiqua"/>
        </w:rPr>
      </w:pPr>
      <w:r w:rsidRPr="00AE2854">
        <w:rPr>
          <w:rFonts w:ascii="Book Antiqua" w:hAnsi="Book Antiqua"/>
        </w:rPr>
        <w:t xml:space="preserve">BETWEEN: </w:t>
      </w:r>
    </w:p>
    <w:tbl>
      <w:tblPr>
        <w:tblW w:w="9356" w:type="dxa"/>
        <w:tblLayout w:type="fixed"/>
        <w:tblLook w:val="0000" w:firstRow="0" w:lastRow="0" w:firstColumn="0" w:lastColumn="0" w:noHBand="0" w:noVBand="0"/>
      </w:tblPr>
      <w:tblGrid>
        <w:gridCol w:w="6048"/>
        <w:gridCol w:w="3308"/>
      </w:tblGrid>
      <w:tr w:rsidR="00AE2854" w:rsidRPr="00AE2854" w14:paraId="7B25D9EC" w14:textId="77777777" w:rsidTr="008C4591">
        <w:tc>
          <w:tcPr>
            <w:tcW w:w="6048" w:type="dxa"/>
            <w:shd w:val="clear" w:color="auto" w:fill="auto"/>
          </w:tcPr>
          <w:p w14:paraId="7B25D9EA" w14:textId="77777777" w:rsidR="00AE2854" w:rsidRPr="00AE2854" w:rsidRDefault="00AE2854" w:rsidP="00BE01DE">
            <w:pPr>
              <w:pStyle w:val="Normal-Cover"/>
              <w:widowControl/>
              <w:rPr>
                <w:szCs w:val="24"/>
              </w:rPr>
            </w:pPr>
            <w:r w:rsidRPr="00AE2854">
              <w:rPr>
                <w:szCs w:val="24"/>
              </w:rPr>
              <w:t>#</w:t>
            </w:r>
          </w:p>
        </w:tc>
        <w:tc>
          <w:tcPr>
            <w:tcW w:w="3308" w:type="dxa"/>
            <w:shd w:val="clear" w:color="auto" w:fill="auto"/>
          </w:tcPr>
          <w:p w14:paraId="7B25D9EB" w14:textId="77777777" w:rsidR="00AE2854" w:rsidRPr="00AE2854" w:rsidRDefault="00AE2854" w:rsidP="00D217C1">
            <w:pPr>
              <w:ind w:left="2204" w:right="-176"/>
              <w:rPr>
                <w:rFonts w:ascii="Book Antiqua" w:hAnsi="Book Antiqua"/>
              </w:rPr>
            </w:pPr>
            <w:r w:rsidRPr="00AE2854">
              <w:rPr>
                <w:rFonts w:ascii="Book Antiqua" w:hAnsi="Book Antiqua"/>
              </w:rPr>
              <w:t>Plaintiff</w:t>
            </w:r>
          </w:p>
        </w:tc>
      </w:tr>
      <w:tr w:rsidR="00AE2854" w:rsidRPr="00AE2854" w14:paraId="7B25D9EF" w14:textId="77777777" w:rsidTr="008C4591">
        <w:tc>
          <w:tcPr>
            <w:tcW w:w="6048" w:type="dxa"/>
            <w:shd w:val="clear" w:color="auto" w:fill="auto"/>
          </w:tcPr>
          <w:p w14:paraId="7B25D9ED" w14:textId="77777777" w:rsidR="00AE2854" w:rsidRPr="00AE2854" w:rsidRDefault="00AE2854" w:rsidP="00BE01DE">
            <w:pPr>
              <w:pStyle w:val="Normal-Cover"/>
              <w:widowControl/>
              <w:rPr>
                <w:szCs w:val="24"/>
              </w:rPr>
            </w:pPr>
            <w:r w:rsidRPr="00AE2854">
              <w:rPr>
                <w:szCs w:val="24"/>
              </w:rPr>
              <w:t>- and -</w:t>
            </w:r>
          </w:p>
        </w:tc>
        <w:tc>
          <w:tcPr>
            <w:tcW w:w="3308" w:type="dxa"/>
            <w:shd w:val="clear" w:color="auto" w:fill="auto"/>
          </w:tcPr>
          <w:p w14:paraId="7B25D9EE" w14:textId="77777777" w:rsidR="00AE2854" w:rsidRPr="00AE2854" w:rsidRDefault="00AE2854" w:rsidP="00BE01DE">
            <w:pPr>
              <w:rPr>
                <w:rFonts w:ascii="Book Antiqua" w:hAnsi="Book Antiqua"/>
              </w:rPr>
            </w:pPr>
          </w:p>
        </w:tc>
      </w:tr>
      <w:tr w:rsidR="00AE2854" w:rsidRPr="00AE2854" w14:paraId="7B25D9F2" w14:textId="77777777" w:rsidTr="008C4591">
        <w:tc>
          <w:tcPr>
            <w:tcW w:w="6048" w:type="dxa"/>
            <w:shd w:val="clear" w:color="auto" w:fill="auto"/>
          </w:tcPr>
          <w:p w14:paraId="7B25D9F0" w14:textId="77777777" w:rsidR="00AE2854" w:rsidRPr="00AE2854" w:rsidRDefault="00AE2854" w:rsidP="00BE01DE">
            <w:pPr>
              <w:pStyle w:val="Normal-Cover"/>
              <w:widowControl/>
              <w:rPr>
                <w:szCs w:val="24"/>
              </w:rPr>
            </w:pPr>
            <w:r w:rsidRPr="00AE2854">
              <w:rPr>
                <w:szCs w:val="24"/>
              </w:rPr>
              <w:t>#</w:t>
            </w:r>
          </w:p>
        </w:tc>
        <w:tc>
          <w:tcPr>
            <w:tcW w:w="3308" w:type="dxa"/>
            <w:shd w:val="clear" w:color="auto" w:fill="auto"/>
          </w:tcPr>
          <w:p w14:paraId="7B25D9F1" w14:textId="77777777" w:rsidR="00AE2854" w:rsidRPr="00AE2854" w:rsidRDefault="00AE2854" w:rsidP="00BE01DE">
            <w:pPr>
              <w:ind w:left="1924"/>
              <w:rPr>
                <w:rFonts w:ascii="Book Antiqua" w:hAnsi="Book Antiqua"/>
              </w:rPr>
            </w:pPr>
            <w:r w:rsidRPr="00AE2854">
              <w:rPr>
                <w:rFonts w:ascii="Book Antiqua" w:hAnsi="Book Antiqua"/>
              </w:rPr>
              <w:t xml:space="preserve"> Defendant</w:t>
            </w:r>
          </w:p>
        </w:tc>
      </w:tr>
    </w:tbl>
    <w:p w14:paraId="7B25D9F3" w14:textId="77777777" w:rsidR="00AE2854" w:rsidRPr="00AE2854" w:rsidRDefault="00AE2854" w:rsidP="00AE2854">
      <w:pPr>
        <w:spacing w:before="120" w:after="120"/>
        <w:ind w:left="720" w:hanging="720"/>
        <w:jc w:val="center"/>
        <w:rPr>
          <w:rFonts w:ascii="Book Antiqua" w:hAnsi="Book Antiqua"/>
        </w:rPr>
      </w:pPr>
    </w:p>
    <w:p w14:paraId="7B25D9F4" w14:textId="77777777" w:rsidR="003639B5" w:rsidRPr="00AE2854" w:rsidRDefault="003639B5">
      <w:pPr>
        <w:spacing w:before="120" w:after="120"/>
        <w:ind w:left="720" w:hanging="720"/>
        <w:jc w:val="right"/>
        <w:rPr>
          <w:rFonts w:ascii="Book Antiqua" w:hAnsi="Book Antiqua"/>
        </w:rPr>
      </w:pPr>
    </w:p>
    <w:sectPr w:rsidR="003639B5" w:rsidRPr="00AE2854" w:rsidSect="003817CD">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D65E" w14:textId="77777777" w:rsidR="003B594F" w:rsidRDefault="003B594F">
      <w:r>
        <w:separator/>
      </w:r>
    </w:p>
  </w:endnote>
  <w:endnote w:type="continuationSeparator" w:id="0">
    <w:p w14:paraId="720B3423" w14:textId="77777777" w:rsidR="003B594F" w:rsidRDefault="003B594F">
      <w:r>
        <w:continuationSeparator/>
      </w:r>
    </w:p>
  </w:endnote>
  <w:endnote w:type="continuationNotice" w:id="1">
    <w:p w14:paraId="3D99D824" w14:textId="77777777" w:rsidR="003B594F" w:rsidRDefault="003B5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5D9FE" w14:textId="77777777" w:rsidR="00E01377" w:rsidRDefault="00E01377">
    <w:pPr>
      <w:pStyle w:val="Footer"/>
      <w:jc w:val="right"/>
    </w:pPr>
    <w:r>
      <w:fldChar w:fldCharType="begin"/>
    </w:r>
    <w:r>
      <w:instrText xml:space="preserve"> PAGE   \* MERGEFORMAT </w:instrText>
    </w:r>
    <w:r>
      <w:fldChar w:fldCharType="separate"/>
    </w:r>
    <w:r w:rsidR="00B24044">
      <w:rPr>
        <w:noProof/>
      </w:rPr>
      <w:t>1</w:t>
    </w:r>
    <w:r>
      <w:rPr>
        <w:noProof/>
      </w:rPr>
      <w:fldChar w:fldCharType="end"/>
    </w:r>
  </w:p>
  <w:p w14:paraId="7B25D9FF" w14:textId="77777777" w:rsidR="00E01377" w:rsidRDefault="00E0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0E46" w14:textId="77777777" w:rsidR="003B594F" w:rsidRDefault="003B594F">
      <w:r>
        <w:separator/>
      </w:r>
    </w:p>
  </w:footnote>
  <w:footnote w:type="continuationSeparator" w:id="0">
    <w:p w14:paraId="570B30DF" w14:textId="77777777" w:rsidR="003B594F" w:rsidRDefault="003B594F">
      <w:r>
        <w:continuationSeparator/>
      </w:r>
    </w:p>
  </w:footnote>
  <w:footnote w:type="continuationNotice" w:id="1">
    <w:p w14:paraId="46FBB673" w14:textId="77777777" w:rsidR="003B594F" w:rsidRDefault="003B59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93CED682"/>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ascii="Book Antiqua" w:hAnsi="Book Antiqua"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1433"/>
    <w:rsid w:val="0003306E"/>
    <w:rsid w:val="00034D85"/>
    <w:rsid w:val="00035057"/>
    <w:rsid w:val="00036894"/>
    <w:rsid w:val="00037D26"/>
    <w:rsid w:val="00040D80"/>
    <w:rsid w:val="00043448"/>
    <w:rsid w:val="00043BEB"/>
    <w:rsid w:val="00055683"/>
    <w:rsid w:val="00055F43"/>
    <w:rsid w:val="000566C3"/>
    <w:rsid w:val="00070CA2"/>
    <w:rsid w:val="00070D66"/>
    <w:rsid w:val="00071A96"/>
    <w:rsid w:val="00071B69"/>
    <w:rsid w:val="00073139"/>
    <w:rsid w:val="00073769"/>
    <w:rsid w:val="00077863"/>
    <w:rsid w:val="00081A41"/>
    <w:rsid w:val="00095BA5"/>
    <w:rsid w:val="00096D52"/>
    <w:rsid w:val="00097C10"/>
    <w:rsid w:val="000A1DE7"/>
    <w:rsid w:val="000A4D16"/>
    <w:rsid w:val="000A4F62"/>
    <w:rsid w:val="000A553C"/>
    <w:rsid w:val="000A6B76"/>
    <w:rsid w:val="000B20C1"/>
    <w:rsid w:val="000B2E54"/>
    <w:rsid w:val="000B5F50"/>
    <w:rsid w:val="000C0998"/>
    <w:rsid w:val="000C0F92"/>
    <w:rsid w:val="000C1777"/>
    <w:rsid w:val="000C2CE1"/>
    <w:rsid w:val="000C5F4B"/>
    <w:rsid w:val="000C75E1"/>
    <w:rsid w:val="000D00EC"/>
    <w:rsid w:val="000D07F1"/>
    <w:rsid w:val="000D3250"/>
    <w:rsid w:val="000D5E28"/>
    <w:rsid w:val="000D660C"/>
    <w:rsid w:val="000D7A64"/>
    <w:rsid w:val="000E12FA"/>
    <w:rsid w:val="000E2670"/>
    <w:rsid w:val="000E2F0E"/>
    <w:rsid w:val="000E3931"/>
    <w:rsid w:val="000E524A"/>
    <w:rsid w:val="000F3B18"/>
    <w:rsid w:val="000F6EA7"/>
    <w:rsid w:val="00100006"/>
    <w:rsid w:val="00101EC5"/>
    <w:rsid w:val="001033CC"/>
    <w:rsid w:val="001064EA"/>
    <w:rsid w:val="00121C72"/>
    <w:rsid w:val="00122E2F"/>
    <w:rsid w:val="00123994"/>
    <w:rsid w:val="00125C07"/>
    <w:rsid w:val="00133A51"/>
    <w:rsid w:val="001344BA"/>
    <w:rsid w:val="00137143"/>
    <w:rsid w:val="00140683"/>
    <w:rsid w:val="00143136"/>
    <w:rsid w:val="00143818"/>
    <w:rsid w:val="001440CE"/>
    <w:rsid w:val="00144DAA"/>
    <w:rsid w:val="00145C92"/>
    <w:rsid w:val="00145D28"/>
    <w:rsid w:val="0014603C"/>
    <w:rsid w:val="0015063E"/>
    <w:rsid w:val="00155A8E"/>
    <w:rsid w:val="0015650D"/>
    <w:rsid w:val="00157542"/>
    <w:rsid w:val="0016054E"/>
    <w:rsid w:val="00161B6C"/>
    <w:rsid w:val="00161CA2"/>
    <w:rsid w:val="001716EF"/>
    <w:rsid w:val="0017629A"/>
    <w:rsid w:val="0018061B"/>
    <w:rsid w:val="00182F47"/>
    <w:rsid w:val="00186E37"/>
    <w:rsid w:val="001902DC"/>
    <w:rsid w:val="001913C5"/>
    <w:rsid w:val="00194089"/>
    <w:rsid w:val="00194A80"/>
    <w:rsid w:val="0019530A"/>
    <w:rsid w:val="00197CA4"/>
    <w:rsid w:val="001A22B3"/>
    <w:rsid w:val="001A5036"/>
    <w:rsid w:val="001A5B39"/>
    <w:rsid w:val="001A667F"/>
    <w:rsid w:val="001A7651"/>
    <w:rsid w:val="001B27C2"/>
    <w:rsid w:val="001B3484"/>
    <w:rsid w:val="001B4283"/>
    <w:rsid w:val="001B7982"/>
    <w:rsid w:val="001B7E2C"/>
    <w:rsid w:val="001C116C"/>
    <w:rsid w:val="001C2F4B"/>
    <w:rsid w:val="001E0318"/>
    <w:rsid w:val="001F3A25"/>
    <w:rsid w:val="001F7B74"/>
    <w:rsid w:val="002032C4"/>
    <w:rsid w:val="00207367"/>
    <w:rsid w:val="002101C7"/>
    <w:rsid w:val="002154A3"/>
    <w:rsid w:val="00216DCF"/>
    <w:rsid w:val="00217758"/>
    <w:rsid w:val="00217E88"/>
    <w:rsid w:val="002218C5"/>
    <w:rsid w:val="00222544"/>
    <w:rsid w:val="0022666D"/>
    <w:rsid w:val="0023426A"/>
    <w:rsid w:val="002344B1"/>
    <w:rsid w:val="00234B7B"/>
    <w:rsid w:val="002365B9"/>
    <w:rsid w:val="0024029B"/>
    <w:rsid w:val="00241A4E"/>
    <w:rsid w:val="00245746"/>
    <w:rsid w:val="00247F50"/>
    <w:rsid w:val="002538A4"/>
    <w:rsid w:val="00254921"/>
    <w:rsid w:val="002572C2"/>
    <w:rsid w:val="0026005D"/>
    <w:rsid w:val="002605AB"/>
    <w:rsid w:val="00265BF9"/>
    <w:rsid w:val="00266374"/>
    <w:rsid w:val="00271B59"/>
    <w:rsid w:val="00275A5A"/>
    <w:rsid w:val="00277738"/>
    <w:rsid w:val="0027790F"/>
    <w:rsid w:val="00277B7B"/>
    <w:rsid w:val="002812ED"/>
    <w:rsid w:val="0028130B"/>
    <w:rsid w:val="00283500"/>
    <w:rsid w:val="002A667E"/>
    <w:rsid w:val="002A7A35"/>
    <w:rsid w:val="002B44AB"/>
    <w:rsid w:val="002B465A"/>
    <w:rsid w:val="002C1134"/>
    <w:rsid w:val="002C24C9"/>
    <w:rsid w:val="002C56E8"/>
    <w:rsid w:val="002D0AB0"/>
    <w:rsid w:val="002D0FD3"/>
    <w:rsid w:val="002D23D8"/>
    <w:rsid w:val="002D3D63"/>
    <w:rsid w:val="002D6E79"/>
    <w:rsid w:val="002E0F6B"/>
    <w:rsid w:val="002E2B1F"/>
    <w:rsid w:val="002E6B43"/>
    <w:rsid w:val="002E7FD2"/>
    <w:rsid w:val="002F4D7F"/>
    <w:rsid w:val="00300F4B"/>
    <w:rsid w:val="00302981"/>
    <w:rsid w:val="00302AB0"/>
    <w:rsid w:val="0030352D"/>
    <w:rsid w:val="00305761"/>
    <w:rsid w:val="00307B60"/>
    <w:rsid w:val="00310655"/>
    <w:rsid w:val="00310A32"/>
    <w:rsid w:val="00311051"/>
    <w:rsid w:val="0031222C"/>
    <w:rsid w:val="00312563"/>
    <w:rsid w:val="003166D1"/>
    <w:rsid w:val="00316951"/>
    <w:rsid w:val="003206EC"/>
    <w:rsid w:val="00321C75"/>
    <w:rsid w:val="0032286C"/>
    <w:rsid w:val="003229D8"/>
    <w:rsid w:val="00334DD3"/>
    <w:rsid w:val="00340257"/>
    <w:rsid w:val="0034260E"/>
    <w:rsid w:val="00350055"/>
    <w:rsid w:val="003500B9"/>
    <w:rsid w:val="003508E0"/>
    <w:rsid w:val="00353656"/>
    <w:rsid w:val="00353A05"/>
    <w:rsid w:val="00353E4C"/>
    <w:rsid w:val="00356593"/>
    <w:rsid w:val="00356969"/>
    <w:rsid w:val="00357A0D"/>
    <w:rsid w:val="003639B5"/>
    <w:rsid w:val="00365D0E"/>
    <w:rsid w:val="00367AD0"/>
    <w:rsid w:val="00377999"/>
    <w:rsid w:val="003800DE"/>
    <w:rsid w:val="003817CD"/>
    <w:rsid w:val="00381991"/>
    <w:rsid w:val="00381FDA"/>
    <w:rsid w:val="00386C9F"/>
    <w:rsid w:val="00386D74"/>
    <w:rsid w:val="00387DB3"/>
    <w:rsid w:val="00391CA0"/>
    <w:rsid w:val="003945D8"/>
    <w:rsid w:val="00396EF2"/>
    <w:rsid w:val="00397AAE"/>
    <w:rsid w:val="003A6E06"/>
    <w:rsid w:val="003A7A5A"/>
    <w:rsid w:val="003A7E6C"/>
    <w:rsid w:val="003B594F"/>
    <w:rsid w:val="003B7248"/>
    <w:rsid w:val="003C07C2"/>
    <w:rsid w:val="003C343E"/>
    <w:rsid w:val="003C5C64"/>
    <w:rsid w:val="003C62F1"/>
    <w:rsid w:val="003D0A67"/>
    <w:rsid w:val="003D672F"/>
    <w:rsid w:val="003D7CBC"/>
    <w:rsid w:val="003E4C44"/>
    <w:rsid w:val="003E6152"/>
    <w:rsid w:val="003E66CF"/>
    <w:rsid w:val="003F0D9C"/>
    <w:rsid w:val="00400AE2"/>
    <w:rsid w:val="0040410A"/>
    <w:rsid w:val="00404CB0"/>
    <w:rsid w:val="00412AB7"/>
    <w:rsid w:val="00414B77"/>
    <w:rsid w:val="0042138B"/>
    <w:rsid w:val="00423827"/>
    <w:rsid w:val="0043033C"/>
    <w:rsid w:val="00434BEE"/>
    <w:rsid w:val="004361F0"/>
    <w:rsid w:val="00441431"/>
    <w:rsid w:val="00454495"/>
    <w:rsid w:val="00455D46"/>
    <w:rsid w:val="00461361"/>
    <w:rsid w:val="00471414"/>
    <w:rsid w:val="00474236"/>
    <w:rsid w:val="00474F94"/>
    <w:rsid w:val="00482EBE"/>
    <w:rsid w:val="00483F1E"/>
    <w:rsid w:val="00485544"/>
    <w:rsid w:val="00490540"/>
    <w:rsid w:val="004912F2"/>
    <w:rsid w:val="00492363"/>
    <w:rsid w:val="00494220"/>
    <w:rsid w:val="004946BD"/>
    <w:rsid w:val="0049669C"/>
    <w:rsid w:val="00496F08"/>
    <w:rsid w:val="004A779D"/>
    <w:rsid w:val="004B1AC7"/>
    <w:rsid w:val="004B2A72"/>
    <w:rsid w:val="004B4458"/>
    <w:rsid w:val="004B5756"/>
    <w:rsid w:val="004B6E9A"/>
    <w:rsid w:val="004C1FFA"/>
    <w:rsid w:val="004C29B1"/>
    <w:rsid w:val="004C5007"/>
    <w:rsid w:val="004C6308"/>
    <w:rsid w:val="004D07F1"/>
    <w:rsid w:val="004D1112"/>
    <w:rsid w:val="004D2141"/>
    <w:rsid w:val="004D605E"/>
    <w:rsid w:val="004E1038"/>
    <w:rsid w:val="004E1052"/>
    <w:rsid w:val="004E10CA"/>
    <w:rsid w:val="004E284B"/>
    <w:rsid w:val="004E591C"/>
    <w:rsid w:val="004F61E8"/>
    <w:rsid w:val="004F7E81"/>
    <w:rsid w:val="0050429E"/>
    <w:rsid w:val="00504BE9"/>
    <w:rsid w:val="00506B52"/>
    <w:rsid w:val="00512025"/>
    <w:rsid w:val="005123B0"/>
    <w:rsid w:val="005158D2"/>
    <w:rsid w:val="005173D2"/>
    <w:rsid w:val="005278A1"/>
    <w:rsid w:val="00527FF5"/>
    <w:rsid w:val="00531D0C"/>
    <w:rsid w:val="00532425"/>
    <w:rsid w:val="005339E3"/>
    <w:rsid w:val="00540E14"/>
    <w:rsid w:val="0054115B"/>
    <w:rsid w:val="00541EAB"/>
    <w:rsid w:val="00547600"/>
    <w:rsid w:val="0055017B"/>
    <w:rsid w:val="00550871"/>
    <w:rsid w:val="005534A5"/>
    <w:rsid w:val="00553534"/>
    <w:rsid w:val="00554A65"/>
    <w:rsid w:val="0055503D"/>
    <w:rsid w:val="00561105"/>
    <w:rsid w:val="0056389E"/>
    <w:rsid w:val="00565B62"/>
    <w:rsid w:val="00571E15"/>
    <w:rsid w:val="005734DA"/>
    <w:rsid w:val="00574381"/>
    <w:rsid w:val="00574DBA"/>
    <w:rsid w:val="00575849"/>
    <w:rsid w:val="00577330"/>
    <w:rsid w:val="0057739A"/>
    <w:rsid w:val="005825BE"/>
    <w:rsid w:val="00582DAF"/>
    <w:rsid w:val="00590203"/>
    <w:rsid w:val="00593530"/>
    <w:rsid w:val="00593A53"/>
    <w:rsid w:val="005A291A"/>
    <w:rsid w:val="005A386C"/>
    <w:rsid w:val="005A4134"/>
    <w:rsid w:val="005A59BA"/>
    <w:rsid w:val="005A68BF"/>
    <w:rsid w:val="005A6984"/>
    <w:rsid w:val="005B04AC"/>
    <w:rsid w:val="005B3FF4"/>
    <w:rsid w:val="005B499F"/>
    <w:rsid w:val="005B5CFE"/>
    <w:rsid w:val="005B7E00"/>
    <w:rsid w:val="005C343D"/>
    <w:rsid w:val="005C542A"/>
    <w:rsid w:val="005C7DA4"/>
    <w:rsid w:val="005C7F57"/>
    <w:rsid w:val="005D3383"/>
    <w:rsid w:val="005E04B4"/>
    <w:rsid w:val="005E3BB5"/>
    <w:rsid w:val="005E5273"/>
    <w:rsid w:val="005E704A"/>
    <w:rsid w:val="005F02B1"/>
    <w:rsid w:val="005F067C"/>
    <w:rsid w:val="0060602A"/>
    <w:rsid w:val="00606CDD"/>
    <w:rsid w:val="00607B05"/>
    <w:rsid w:val="006124C3"/>
    <w:rsid w:val="006135A6"/>
    <w:rsid w:val="00613FA8"/>
    <w:rsid w:val="006170C4"/>
    <w:rsid w:val="00620D68"/>
    <w:rsid w:val="0062188A"/>
    <w:rsid w:val="00625C50"/>
    <w:rsid w:val="00625FA4"/>
    <w:rsid w:val="0062755D"/>
    <w:rsid w:val="00634832"/>
    <w:rsid w:val="00635413"/>
    <w:rsid w:val="00636D64"/>
    <w:rsid w:val="00637EE8"/>
    <w:rsid w:val="0064057F"/>
    <w:rsid w:val="0064143C"/>
    <w:rsid w:val="006513DD"/>
    <w:rsid w:val="00651A5C"/>
    <w:rsid w:val="00655347"/>
    <w:rsid w:val="00656BD2"/>
    <w:rsid w:val="006613C4"/>
    <w:rsid w:val="00662A41"/>
    <w:rsid w:val="00666E4A"/>
    <w:rsid w:val="00666F54"/>
    <w:rsid w:val="006676CA"/>
    <w:rsid w:val="006710C3"/>
    <w:rsid w:val="006763E3"/>
    <w:rsid w:val="00676B57"/>
    <w:rsid w:val="00676CE9"/>
    <w:rsid w:val="0067716A"/>
    <w:rsid w:val="0068364B"/>
    <w:rsid w:val="00685C59"/>
    <w:rsid w:val="00686402"/>
    <w:rsid w:val="006879D4"/>
    <w:rsid w:val="0069029C"/>
    <w:rsid w:val="00691BC6"/>
    <w:rsid w:val="006921D0"/>
    <w:rsid w:val="006941A9"/>
    <w:rsid w:val="00695864"/>
    <w:rsid w:val="006A29AF"/>
    <w:rsid w:val="006A34BA"/>
    <w:rsid w:val="006A386D"/>
    <w:rsid w:val="006A4CCD"/>
    <w:rsid w:val="006A5DA3"/>
    <w:rsid w:val="006A74CE"/>
    <w:rsid w:val="006A7B5E"/>
    <w:rsid w:val="006B6D97"/>
    <w:rsid w:val="006B7674"/>
    <w:rsid w:val="006B7D57"/>
    <w:rsid w:val="006C0D1E"/>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6FE4"/>
    <w:rsid w:val="0071797E"/>
    <w:rsid w:val="00720BE1"/>
    <w:rsid w:val="0072196D"/>
    <w:rsid w:val="00722648"/>
    <w:rsid w:val="0072417E"/>
    <w:rsid w:val="00724292"/>
    <w:rsid w:val="00727C89"/>
    <w:rsid w:val="00737442"/>
    <w:rsid w:val="0074008F"/>
    <w:rsid w:val="00741D9B"/>
    <w:rsid w:val="007453B3"/>
    <w:rsid w:val="00746CB2"/>
    <w:rsid w:val="0074724C"/>
    <w:rsid w:val="007513AE"/>
    <w:rsid w:val="0075230A"/>
    <w:rsid w:val="00752628"/>
    <w:rsid w:val="007530DE"/>
    <w:rsid w:val="00755325"/>
    <w:rsid w:val="00756FE4"/>
    <w:rsid w:val="00757F1E"/>
    <w:rsid w:val="007602AF"/>
    <w:rsid w:val="00764D4A"/>
    <w:rsid w:val="00766477"/>
    <w:rsid w:val="00767B98"/>
    <w:rsid w:val="00767E01"/>
    <w:rsid w:val="00771C95"/>
    <w:rsid w:val="00772DAF"/>
    <w:rsid w:val="00780A47"/>
    <w:rsid w:val="00780F23"/>
    <w:rsid w:val="00784717"/>
    <w:rsid w:val="00786E34"/>
    <w:rsid w:val="00786E58"/>
    <w:rsid w:val="007917BE"/>
    <w:rsid w:val="007951CA"/>
    <w:rsid w:val="0079598A"/>
    <w:rsid w:val="00796372"/>
    <w:rsid w:val="00796E2E"/>
    <w:rsid w:val="007A0780"/>
    <w:rsid w:val="007A1449"/>
    <w:rsid w:val="007A1D8C"/>
    <w:rsid w:val="007A607A"/>
    <w:rsid w:val="007B1869"/>
    <w:rsid w:val="007B3902"/>
    <w:rsid w:val="007C0A8F"/>
    <w:rsid w:val="007C6118"/>
    <w:rsid w:val="007D0506"/>
    <w:rsid w:val="007D1D95"/>
    <w:rsid w:val="007D23B6"/>
    <w:rsid w:val="007D42ED"/>
    <w:rsid w:val="007D480A"/>
    <w:rsid w:val="007D671D"/>
    <w:rsid w:val="007E24CA"/>
    <w:rsid w:val="007E2608"/>
    <w:rsid w:val="007E5564"/>
    <w:rsid w:val="007F1253"/>
    <w:rsid w:val="007F214E"/>
    <w:rsid w:val="007F463A"/>
    <w:rsid w:val="007F7938"/>
    <w:rsid w:val="007F7C28"/>
    <w:rsid w:val="007F7F97"/>
    <w:rsid w:val="00802FC4"/>
    <w:rsid w:val="00803F8D"/>
    <w:rsid w:val="00804B57"/>
    <w:rsid w:val="00811606"/>
    <w:rsid w:val="008119D2"/>
    <w:rsid w:val="008127B0"/>
    <w:rsid w:val="00820E8E"/>
    <w:rsid w:val="00823AB4"/>
    <w:rsid w:val="0082465E"/>
    <w:rsid w:val="0082476F"/>
    <w:rsid w:val="00831C4E"/>
    <w:rsid w:val="00831D0F"/>
    <w:rsid w:val="00834079"/>
    <w:rsid w:val="0083502F"/>
    <w:rsid w:val="00835C7C"/>
    <w:rsid w:val="00836099"/>
    <w:rsid w:val="008429C5"/>
    <w:rsid w:val="008434C3"/>
    <w:rsid w:val="00843503"/>
    <w:rsid w:val="008445D3"/>
    <w:rsid w:val="00845023"/>
    <w:rsid w:val="00850A46"/>
    <w:rsid w:val="008515EE"/>
    <w:rsid w:val="0085374C"/>
    <w:rsid w:val="00854FD4"/>
    <w:rsid w:val="0086055D"/>
    <w:rsid w:val="00872BAD"/>
    <w:rsid w:val="00880069"/>
    <w:rsid w:val="0088136E"/>
    <w:rsid w:val="00883592"/>
    <w:rsid w:val="008846D6"/>
    <w:rsid w:val="00892D21"/>
    <w:rsid w:val="00892FF7"/>
    <w:rsid w:val="008942F1"/>
    <w:rsid w:val="0089599C"/>
    <w:rsid w:val="008A4768"/>
    <w:rsid w:val="008A636D"/>
    <w:rsid w:val="008B0EC2"/>
    <w:rsid w:val="008B1575"/>
    <w:rsid w:val="008B3490"/>
    <w:rsid w:val="008B47EA"/>
    <w:rsid w:val="008C027C"/>
    <w:rsid w:val="008C1EA5"/>
    <w:rsid w:val="008C21D8"/>
    <w:rsid w:val="008C2DAE"/>
    <w:rsid w:val="008C41FA"/>
    <w:rsid w:val="008C4591"/>
    <w:rsid w:val="008D6EBF"/>
    <w:rsid w:val="008E2F41"/>
    <w:rsid w:val="008E5955"/>
    <w:rsid w:val="008E7463"/>
    <w:rsid w:val="008F77ED"/>
    <w:rsid w:val="008F7FF2"/>
    <w:rsid w:val="009063DD"/>
    <w:rsid w:val="0091164B"/>
    <w:rsid w:val="00916516"/>
    <w:rsid w:val="00921EB7"/>
    <w:rsid w:val="0092369B"/>
    <w:rsid w:val="009251C5"/>
    <w:rsid w:val="00934959"/>
    <w:rsid w:val="009369CD"/>
    <w:rsid w:val="00940734"/>
    <w:rsid w:val="00940F44"/>
    <w:rsid w:val="00941002"/>
    <w:rsid w:val="00942671"/>
    <w:rsid w:val="009461D3"/>
    <w:rsid w:val="00947689"/>
    <w:rsid w:val="009534C9"/>
    <w:rsid w:val="0095377B"/>
    <w:rsid w:val="00955CBF"/>
    <w:rsid w:val="009579B5"/>
    <w:rsid w:val="0096128D"/>
    <w:rsid w:val="00963A32"/>
    <w:rsid w:val="00970632"/>
    <w:rsid w:val="00971150"/>
    <w:rsid w:val="00971E91"/>
    <w:rsid w:val="00975561"/>
    <w:rsid w:val="0098076E"/>
    <w:rsid w:val="00984A84"/>
    <w:rsid w:val="009863A0"/>
    <w:rsid w:val="00986FA0"/>
    <w:rsid w:val="00987FD8"/>
    <w:rsid w:val="00990B3C"/>
    <w:rsid w:val="0099349F"/>
    <w:rsid w:val="00993D8D"/>
    <w:rsid w:val="009956C6"/>
    <w:rsid w:val="00995D9A"/>
    <w:rsid w:val="00996F81"/>
    <w:rsid w:val="009A16DD"/>
    <w:rsid w:val="009A2862"/>
    <w:rsid w:val="009A45B0"/>
    <w:rsid w:val="009B18C5"/>
    <w:rsid w:val="009B1B66"/>
    <w:rsid w:val="009B3159"/>
    <w:rsid w:val="009B5DCD"/>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231D0"/>
    <w:rsid w:val="00A43277"/>
    <w:rsid w:val="00A44B03"/>
    <w:rsid w:val="00A52019"/>
    <w:rsid w:val="00A541A2"/>
    <w:rsid w:val="00A57EE4"/>
    <w:rsid w:val="00A64EE1"/>
    <w:rsid w:val="00A66647"/>
    <w:rsid w:val="00A67FC3"/>
    <w:rsid w:val="00A715A8"/>
    <w:rsid w:val="00A74431"/>
    <w:rsid w:val="00A7773B"/>
    <w:rsid w:val="00A7779A"/>
    <w:rsid w:val="00A840EE"/>
    <w:rsid w:val="00A86757"/>
    <w:rsid w:val="00A9278B"/>
    <w:rsid w:val="00A937DF"/>
    <w:rsid w:val="00AA0705"/>
    <w:rsid w:val="00AA1164"/>
    <w:rsid w:val="00AA1568"/>
    <w:rsid w:val="00AA1BA4"/>
    <w:rsid w:val="00AA4005"/>
    <w:rsid w:val="00AA5A1E"/>
    <w:rsid w:val="00AB0464"/>
    <w:rsid w:val="00AB1420"/>
    <w:rsid w:val="00AB3FFA"/>
    <w:rsid w:val="00AB61BD"/>
    <w:rsid w:val="00AB6B2D"/>
    <w:rsid w:val="00AB6B88"/>
    <w:rsid w:val="00AC2F4D"/>
    <w:rsid w:val="00AC6AC6"/>
    <w:rsid w:val="00AC7B4F"/>
    <w:rsid w:val="00AD32C4"/>
    <w:rsid w:val="00AE2854"/>
    <w:rsid w:val="00AE3228"/>
    <w:rsid w:val="00AE3CE5"/>
    <w:rsid w:val="00AE45C9"/>
    <w:rsid w:val="00AF1BD9"/>
    <w:rsid w:val="00AF29CC"/>
    <w:rsid w:val="00AF72F1"/>
    <w:rsid w:val="00AF7BEA"/>
    <w:rsid w:val="00B0217A"/>
    <w:rsid w:val="00B0356A"/>
    <w:rsid w:val="00B03FB3"/>
    <w:rsid w:val="00B120B9"/>
    <w:rsid w:val="00B16B4C"/>
    <w:rsid w:val="00B210B9"/>
    <w:rsid w:val="00B24044"/>
    <w:rsid w:val="00B2533E"/>
    <w:rsid w:val="00B26EE9"/>
    <w:rsid w:val="00B27212"/>
    <w:rsid w:val="00B31D34"/>
    <w:rsid w:val="00B323E2"/>
    <w:rsid w:val="00B366E1"/>
    <w:rsid w:val="00B37F5F"/>
    <w:rsid w:val="00B40971"/>
    <w:rsid w:val="00B41CB2"/>
    <w:rsid w:val="00B42FA4"/>
    <w:rsid w:val="00B43CA5"/>
    <w:rsid w:val="00B445A4"/>
    <w:rsid w:val="00B50C4E"/>
    <w:rsid w:val="00B53468"/>
    <w:rsid w:val="00B54563"/>
    <w:rsid w:val="00B54D68"/>
    <w:rsid w:val="00B55DDD"/>
    <w:rsid w:val="00B57556"/>
    <w:rsid w:val="00B6220E"/>
    <w:rsid w:val="00B65F05"/>
    <w:rsid w:val="00B7108E"/>
    <w:rsid w:val="00B72C47"/>
    <w:rsid w:val="00B84551"/>
    <w:rsid w:val="00B86CFD"/>
    <w:rsid w:val="00B906B1"/>
    <w:rsid w:val="00B91665"/>
    <w:rsid w:val="00B91953"/>
    <w:rsid w:val="00B92511"/>
    <w:rsid w:val="00B97019"/>
    <w:rsid w:val="00BA38D4"/>
    <w:rsid w:val="00BA467D"/>
    <w:rsid w:val="00BA4AA3"/>
    <w:rsid w:val="00BA536E"/>
    <w:rsid w:val="00BB025F"/>
    <w:rsid w:val="00BB1CFE"/>
    <w:rsid w:val="00BB33AD"/>
    <w:rsid w:val="00BB3539"/>
    <w:rsid w:val="00BB44DE"/>
    <w:rsid w:val="00BB6A06"/>
    <w:rsid w:val="00BC00FB"/>
    <w:rsid w:val="00BC63FD"/>
    <w:rsid w:val="00BC7826"/>
    <w:rsid w:val="00BD0D77"/>
    <w:rsid w:val="00BD4E3C"/>
    <w:rsid w:val="00BD53FE"/>
    <w:rsid w:val="00BE01D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28B1"/>
    <w:rsid w:val="00C25E34"/>
    <w:rsid w:val="00C25E3E"/>
    <w:rsid w:val="00C27E6B"/>
    <w:rsid w:val="00C310B9"/>
    <w:rsid w:val="00C342D5"/>
    <w:rsid w:val="00C401CD"/>
    <w:rsid w:val="00C4035A"/>
    <w:rsid w:val="00C41952"/>
    <w:rsid w:val="00C42B04"/>
    <w:rsid w:val="00C4625D"/>
    <w:rsid w:val="00C53183"/>
    <w:rsid w:val="00C53AFD"/>
    <w:rsid w:val="00C55128"/>
    <w:rsid w:val="00C56B94"/>
    <w:rsid w:val="00C56DF5"/>
    <w:rsid w:val="00C570CC"/>
    <w:rsid w:val="00C60AFC"/>
    <w:rsid w:val="00C60BB4"/>
    <w:rsid w:val="00C61F87"/>
    <w:rsid w:val="00C63990"/>
    <w:rsid w:val="00C65F24"/>
    <w:rsid w:val="00C719FC"/>
    <w:rsid w:val="00C75307"/>
    <w:rsid w:val="00C8379F"/>
    <w:rsid w:val="00C85C75"/>
    <w:rsid w:val="00C87DF0"/>
    <w:rsid w:val="00C92881"/>
    <w:rsid w:val="00C96FB5"/>
    <w:rsid w:val="00C979D7"/>
    <w:rsid w:val="00C97F30"/>
    <w:rsid w:val="00CB2437"/>
    <w:rsid w:val="00CB2EDD"/>
    <w:rsid w:val="00CC2810"/>
    <w:rsid w:val="00CC6705"/>
    <w:rsid w:val="00CD0331"/>
    <w:rsid w:val="00CD24EE"/>
    <w:rsid w:val="00CD4B75"/>
    <w:rsid w:val="00CD791D"/>
    <w:rsid w:val="00CE0037"/>
    <w:rsid w:val="00CE4442"/>
    <w:rsid w:val="00CE46FB"/>
    <w:rsid w:val="00CE520C"/>
    <w:rsid w:val="00CF07B3"/>
    <w:rsid w:val="00CF1531"/>
    <w:rsid w:val="00CF18F8"/>
    <w:rsid w:val="00CF36EB"/>
    <w:rsid w:val="00CF4BEC"/>
    <w:rsid w:val="00CF5F3A"/>
    <w:rsid w:val="00CF6054"/>
    <w:rsid w:val="00CF6947"/>
    <w:rsid w:val="00D005FF"/>
    <w:rsid w:val="00D00AF7"/>
    <w:rsid w:val="00D00C1F"/>
    <w:rsid w:val="00D11720"/>
    <w:rsid w:val="00D16016"/>
    <w:rsid w:val="00D1679C"/>
    <w:rsid w:val="00D217C1"/>
    <w:rsid w:val="00D218A6"/>
    <w:rsid w:val="00D23722"/>
    <w:rsid w:val="00D23C64"/>
    <w:rsid w:val="00D244E3"/>
    <w:rsid w:val="00D25933"/>
    <w:rsid w:val="00D26B29"/>
    <w:rsid w:val="00D31ED0"/>
    <w:rsid w:val="00D3326E"/>
    <w:rsid w:val="00D3340C"/>
    <w:rsid w:val="00D37B73"/>
    <w:rsid w:val="00D44645"/>
    <w:rsid w:val="00D52D19"/>
    <w:rsid w:val="00D54B74"/>
    <w:rsid w:val="00D60B33"/>
    <w:rsid w:val="00D62946"/>
    <w:rsid w:val="00D62C14"/>
    <w:rsid w:val="00D636CD"/>
    <w:rsid w:val="00D658C1"/>
    <w:rsid w:val="00D66FF2"/>
    <w:rsid w:val="00D71E39"/>
    <w:rsid w:val="00D77286"/>
    <w:rsid w:val="00D77D53"/>
    <w:rsid w:val="00D809E3"/>
    <w:rsid w:val="00D80FEA"/>
    <w:rsid w:val="00D81BC0"/>
    <w:rsid w:val="00D83D19"/>
    <w:rsid w:val="00D85336"/>
    <w:rsid w:val="00D862DF"/>
    <w:rsid w:val="00D86A6A"/>
    <w:rsid w:val="00D86FB7"/>
    <w:rsid w:val="00D94637"/>
    <w:rsid w:val="00D94C2D"/>
    <w:rsid w:val="00D961E3"/>
    <w:rsid w:val="00D97628"/>
    <w:rsid w:val="00DA0491"/>
    <w:rsid w:val="00DA1E21"/>
    <w:rsid w:val="00DA284A"/>
    <w:rsid w:val="00DA2A9D"/>
    <w:rsid w:val="00DA56E9"/>
    <w:rsid w:val="00DB2678"/>
    <w:rsid w:val="00DB2792"/>
    <w:rsid w:val="00DB304D"/>
    <w:rsid w:val="00DB6F51"/>
    <w:rsid w:val="00DB7EBE"/>
    <w:rsid w:val="00DC0370"/>
    <w:rsid w:val="00DC0ABE"/>
    <w:rsid w:val="00DC1D8A"/>
    <w:rsid w:val="00DC24A7"/>
    <w:rsid w:val="00DC3601"/>
    <w:rsid w:val="00DC5BE7"/>
    <w:rsid w:val="00DC66BB"/>
    <w:rsid w:val="00DD16B5"/>
    <w:rsid w:val="00DD1823"/>
    <w:rsid w:val="00DD3645"/>
    <w:rsid w:val="00DD5CE9"/>
    <w:rsid w:val="00DD6D22"/>
    <w:rsid w:val="00DE2909"/>
    <w:rsid w:val="00DE5293"/>
    <w:rsid w:val="00DE58F3"/>
    <w:rsid w:val="00DE6424"/>
    <w:rsid w:val="00DE6CBB"/>
    <w:rsid w:val="00DE717D"/>
    <w:rsid w:val="00DE77BC"/>
    <w:rsid w:val="00DF032B"/>
    <w:rsid w:val="00DF1BF8"/>
    <w:rsid w:val="00DF1F28"/>
    <w:rsid w:val="00DF3525"/>
    <w:rsid w:val="00DF4878"/>
    <w:rsid w:val="00DF52D4"/>
    <w:rsid w:val="00E01377"/>
    <w:rsid w:val="00E03C54"/>
    <w:rsid w:val="00E05506"/>
    <w:rsid w:val="00E0551B"/>
    <w:rsid w:val="00E056A7"/>
    <w:rsid w:val="00E11319"/>
    <w:rsid w:val="00E11B98"/>
    <w:rsid w:val="00E15CF5"/>
    <w:rsid w:val="00E16169"/>
    <w:rsid w:val="00E20381"/>
    <w:rsid w:val="00E2055A"/>
    <w:rsid w:val="00E23A7E"/>
    <w:rsid w:val="00E25646"/>
    <w:rsid w:val="00E27289"/>
    <w:rsid w:val="00E2776C"/>
    <w:rsid w:val="00E27982"/>
    <w:rsid w:val="00E32434"/>
    <w:rsid w:val="00E45783"/>
    <w:rsid w:val="00E52E8C"/>
    <w:rsid w:val="00E54AD4"/>
    <w:rsid w:val="00E54BCF"/>
    <w:rsid w:val="00E61AA5"/>
    <w:rsid w:val="00E62BC4"/>
    <w:rsid w:val="00E66EDC"/>
    <w:rsid w:val="00E74D52"/>
    <w:rsid w:val="00E7753E"/>
    <w:rsid w:val="00E87A93"/>
    <w:rsid w:val="00E90334"/>
    <w:rsid w:val="00E93767"/>
    <w:rsid w:val="00EA0DB8"/>
    <w:rsid w:val="00EA141C"/>
    <w:rsid w:val="00EA2EB9"/>
    <w:rsid w:val="00EA6CDF"/>
    <w:rsid w:val="00EB197A"/>
    <w:rsid w:val="00EB7C98"/>
    <w:rsid w:val="00EC0977"/>
    <w:rsid w:val="00EC1514"/>
    <w:rsid w:val="00EC4A6A"/>
    <w:rsid w:val="00EC6B3A"/>
    <w:rsid w:val="00ED25C1"/>
    <w:rsid w:val="00ED405C"/>
    <w:rsid w:val="00ED61FE"/>
    <w:rsid w:val="00EE22B7"/>
    <w:rsid w:val="00EE6009"/>
    <w:rsid w:val="00EF154D"/>
    <w:rsid w:val="00EF1683"/>
    <w:rsid w:val="00EF2F58"/>
    <w:rsid w:val="00EF5C7D"/>
    <w:rsid w:val="00F0009F"/>
    <w:rsid w:val="00F0621A"/>
    <w:rsid w:val="00F07C59"/>
    <w:rsid w:val="00F128FD"/>
    <w:rsid w:val="00F1326F"/>
    <w:rsid w:val="00F24E6E"/>
    <w:rsid w:val="00F25EF5"/>
    <w:rsid w:val="00F3229C"/>
    <w:rsid w:val="00F33797"/>
    <w:rsid w:val="00F34606"/>
    <w:rsid w:val="00F41134"/>
    <w:rsid w:val="00F43EC5"/>
    <w:rsid w:val="00F521A3"/>
    <w:rsid w:val="00F52A10"/>
    <w:rsid w:val="00F549CC"/>
    <w:rsid w:val="00F630C6"/>
    <w:rsid w:val="00F632DE"/>
    <w:rsid w:val="00F64FAA"/>
    <w:rsid w:val="00F66463"/>
    <w:rsid w:val="00F706E9"/>
    <w:rsid w:val="00F80F7B"/>
    <w:rsid w:val="00F82FC0"/>
    <w:rsid w:val="00F858AD"/>
    <w:rsid w:val="00F85CC5"/>
    <w:rsid w:val="00F877E8"/>
    <w:rsid w:val="00F92097"/>
    <w:rsid w:val="00FA51CA"/>
    <w:rsid w:val="00FA661F"/>
    <w:rsid w:val="00FA7259"/>
    <w:rsid w:val="00FA726D"/>
    <w:rsid w:val="00FA7381"/>
    <w:rsid w:val="00FA7B26"/>
    <w:rsid w:val="00FB4C14"/>
    <w:rsid w:val="00FB5EEA"/>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932"/>
    <w:rsid w:val="00FE2DE4"/>
    <w:rsid w:val="00FE3DB0"/>
    <w:rsid w:val="00FE744B"/>
    <w:rsid w:val="00FF1DE7"/>
    <w:rsid w:val="00FF32AD"/>
    <w:rsid w:val="00FF35A3"/>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25D918"/>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paragraph" w:styleId="NoSpacing">
    <w:name w:val="No Spacing"/>
    <w:aliases w:val="PN Text"/>
    <w:link w:val="NoSpacingChar"/>
    <w:uiPriority w:val="99"/>
    <w:qFormat/>
    <w:rsid w:val="00C97F30"/>
    <w:rPr>
      <w:rFonts w:eastAsiaTheme="minorHAnsi" w:cstheme="minorBidi"/>
      <w:sz w:val="22"/>
      <w:szCs w:val="22"/>
      <w:lang w:val="en-AU" w:eastAsia="en-US"/>
    </w:rPr>
  </w:style>
  <w:style w:type="character" w:customStyle="1" w:styleId="NoSpacingChar">
    <w:name w:val="No Spacing Char"/>
    <w:aliases w:val="PN Text Char"/>
    <w:basedOn w:val="DefaultParagraphFont"/>
    <w:link w:val="NoSpacing"/>
    <w:uiPriority w:val="99"/>
    <w:rsid w:val="00C97F30"/>
    <w:rPr>
      <w:rFonts w:eastAsiaTheme="minorHAnsi" w:cstheme="minorBidi"/>
      <w:sz w:val="22"/>
      <w:szCs w:val="22"/>
      <w:lang w:val="en-AU" w:eastAsia="en-US"/>
    </w:rPr>
  </w:style>
  <w:style w:type="paragraph" w:customStyle="1" w:styleId="Style1">
    <w:name w:val="Style1"/>
    <w:basedOn w:val="ListParagraph"/>
    <w:link w:val="Style1Char"/>
    <w:qFormat/>
    <w:rsid w:val="00AE2854"/>
    <w:pPr>
      <w:tabs>
        <w:tab w:val="num" w:pos="0"/>
        <w:tab w:val="left" w:pos="851"/>
        <w:tab w:val="left" w:pos="4820"/>
      </w:tabs>
      <w:spacing w:after="200" w:line="360" w:lineRule="auto"/>
      <w:ind w:left="360" w:hanging="360"/>
      <w:jc w:val="both"/>
    </w:pPr>
    <w:rPr>
      <w:rFonts w:eastAsia="Calibri"/>
      <w:b/>
      <w:caps/>
      <w:sz w:val="24"/>
      <w:szCs w:val="24"/>
      <w:lang w:val="en-US" w:eastAsia="en-US"/>
    </w:rPr>
  </w:style>
  <w:style w:type="character" w:customStyle="1" w:styleId="Style1Char">
    <w:name w:val="Style1 Char"/>
    <w:link w:val="Style1"/>
    <w:rsid w:val="00AE2854"/>
    <w:rPr>
      <w:rFonts w:eastAsia="Calibri"/>
      <w:b/>
      <w:caps/>
      <w:sz w:val="24"/>
      <w:szCs w:val="24"/>
      <w:lang w:eastAsia="en-US"/>
    </w:rPr>
  </w:style>
  <w:style w:type="paragraph" w:customStyle="1" w:styleId="Normal-Cover">
    <w:name w:val="Normal-Cover"/>
    <w:basedOn w:val="Normal"/>
    <w:rsid w:val="00AE2854"/>
    <w:pPr>
      <w:widowControl w:val="0"/>
    </w:pPr>
    <w:rPr>
      <w:rFonts w:ascii="Book Antiqua" w:hAnsi="Book Antiqu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285">
      <w:bodyDiv w:val="1"/>
      <w:marLeft w:val="0"/>
      <w:marRight w:val="0"/>
      <w:marTop w:val="0"/>
      <w:marBottom w:val="0"/>
      <w:divBdr>
        <w:top w:val="none" w:sz="0" w:space="0" w:color="auto"/>
        <w:left w:val="none" w:sz="0" w:space="0" w:color="auto"/>
        <w:bottom w:val="none" w:sz="0" w:space="0" w:color="auto"/>
        <w:right w:val="none" w:sz="0" w:space="0" w:color="auto"/>
      </w:divBdr>
    </w:div>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798950">
      <w:bodyDiv w:val="1"/>
      <w:marLeft w:val="0"/>
      <w:marRight w:val="0"/>
      <w:marTop w:val="0"/>
      <w:marBottom w:val="0"/>
      <w:divBdr>
        <w:top w:val="none" w:sz="0" w:space="0" w:color="auto"/>
        <w:left w:val="none" w:sz="0" w:space="0" w:color="auto"/>
        <w:bottom w:val="none" w:sz="0" w:space="0" w:color="auto"/>
        <w:right w:val="none" w:sz="0" w:space="0" w:color="auto"/>
      </w:divBdr>
    </w:div>
    <w:div w:id="1313634845">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ercialcourturgents@supcourt.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nrepresented@supreme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dcrest@supcourt.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dcrest.com.au" TargetMode="External"/><Relationship Id="rId20" Type="http://schemas.openxmlformats.org/officeDocument/2006/relationships/hyperlink" Target="http://www.redcrest.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dcrest@supremecourt.vic.gov.au" TargetMode="External"/><Relationship Id="rId23" Type="http://schemas.openxmlformats.org/officeDocument/2006/relationships/hyperlink" Target="mailto:unrepresented@supremecourt.vic.gov.au" TargetMode="External"/><Relationship Id="rId10" Type="http://schemas.openxmlformats.org/officeDocument/2006/relationships/webSettings" Target="webSettings.xml"/><Relationship Id="rId19" Type="http://schemas.openxmlformats.org/officeDocument/2006/relationships/hyperlink" Target="mailto:redcrest@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dcrest.com.au" TargetMode="External"/><Relationship Id="rId22" Type="http://schemas.openxmlformats.org/officeDocument/2006/relationships/hyperlink" Target="mailto:unrepresented@supreme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schemas.microsoft.com/office/2006/metadata/properties"/>
    <ds:schemaRef ds:uri="http://purl.org/dc/elements/1.1/"/>
    <ds:schemaRef ds:uri="263eaefd-0475-4860-b86f-622cd66f4e0c"/>
    <ds:schemaRef ds:uri="bdde84cb-4b1f-4b74-b4a5-14e1a433eee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FF5335AD-FDF0-45BD-9CA0-47A7DC431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0397C-298F-4CAF-811E-83409159165D}">
  <ds:schemaRefs>
    <ds:schemaRef ds:uri="http://schemas.openxmlformats.org/officeDocument/2006/bibliography"/>
  </ds:schemaRefs>
</ds:datastoreItem>
</file>

<file path=customXml/itemProps6.xml><?xml version="1.0" encoding="utf-8"?>
<ds:datastoreItem xmlns:ds="http://schemas.openxmlformats.org/officeDocument/2006/customXml" ds:itemID="{7330E13D-6945-43D2-9E0D-F8DC8D79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3246</Words>
  <Characters>18503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2017-11-17T01:38:00Z</cp:lastPrinted>
  <dcterms:created xsi:type="dcterms:W3CDTF">2017-12-20T23:18:00Z</dcterms:created>
  <dcterms:modified xsi:type="dcterms:W3CDTF">2017-12-20T23:18:00Z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